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77777777"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в 2023 году (за отчетный 2022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77777777"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w:t>
      </w:r>
      <w:proofErr w:type="gramEnd"/>
      <w:r w:rsidRPr="002937E4">
        <w:rPr>
          <w:rFonts w:ascii="Times New Roman" w:hAnsi="Times New Roman"/>
          <w:sz w:val="28"/>
          <w:szCs w:val="28"/>
        </w:rPr>
        <w:t xml:space="preserve">,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w:t>
      </w:r>
      <w:proofErr w:type="gramEnd"/>
      <w:r w:rsidRPr="002937E4">
        <w:rPr>
          <w:rFonts w:ascii="Times New Roman" w:hAnsi="Times New Roman"/>
          <w:sz w:val="28"/>
          <w:szCs w:val="28"/>
        </w:rPr>
        <w:t xml:space="preserve"> органами, поручено при реализации требований законодательства о противодействии коррупции </w:t>
      </w:r>
      <w:proofErr w:type="gramStart"/>
      <w:r w:rsidRPr="002937E4">
        <w:rPr>
          <w:rFonts w:ascii="Times New Roman" w:hAnsi="Times New Roman"/>
          <w:sz w:val="28"/>
          <w:szCs w:val="28"/>
        </w:rPr>
        <w:t>руководствоваться</w:t>
      </w:r>
      <w:proofErr w:type="gramEnd"/>
      <w:r w:rsidRPr="002937E4">
        <w:rPr>
          <w:rFonts w:ascii="Times New Roman" w:hAnsi="Times New Roman"/>
          <w:sz w:val="28"/>
          <w:szCs w:val="28"/>
        </w:rPr>
        <w:t xml:space="preserve">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w:t>
      </w:r>
      <w:proofErr w:type="gramStart"/>
      <w:r w:rsidRPr="002937E4">
        <w:rPr>
          <w:rFonts w:ascii="Times New Roman" w:hAnsi="Times New Roman"/>
          <w:sz w:val="28"/>
          <w:szCs w:val="28"/>
        </w:rPr>
        <w:t xml:space="preserve">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w:t>
      </w:r>
      <w:proofErr w:type="gramEnd"/>
      <w:r w:rsidRPr="002937E4">
        <w:rPr>
          <w:rFonts w:ascii="Times New Roman" w:hAnsi="Times New Roman"/>
          <w:sz w:val="28"/>
          <w:szCs w:val="28"/>
        </w:rPr>
        <w:t>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proofErr w:type="gramStart"/>
      <w:r w:rsidRPr="002937E4">
        <w:rPr>
          <w:rFonts w:ascii="Times New Roman" w:hAnsi="Times New Roman"/>
          <w:sz w:val="28"/>
          <w:szCs w:val="28"/>
        </w:rPr>
        <w:t>форма</w:t>
      </w:r>
      <w:proofErr w:type="gramEnd"/>
      <w:r w:rsidRPr="002937E4">
        <w:rPr>
          <w:rFonts w:ascii="Times New Roman" w:hAnsi="Times New Roman"/>
          <w:sz w:val="28"/>
          <w:szCs w:val="28"/>
        </w:rPr>
        <w:t xml:space="preserve"> которой утверждена Указом Президента Российской Федерации от 23 июня 2014 г. № 460 "Об </w:t>
      </w:r>
      <w:proofErr w:type="gramStart"/>
      <w:r w:rsidRPr="002937E4">
        <w:rPr>
          <w:rFonts w:ascii="Times New Roman" w:hAnsi="Times New Roman"/>
          <w:sz w:val="28"/>
          <w:szCs w:val="28"/>
        </w:rPr>
        <w:t>утверждении</w:t>
      </w:r>
      <w:proofErr w:type="gramEnd"/>
      <w:r w:rsidRPr="002937E4">
        <w:rPr>
          <w:rFonts w:ascii="Times New Roman" w:hAnsi="Times New Roman"/>
          <w:sz w:val="28"/>
          <w:szCs w:val="28"/>
        </w:rPr>
        <w:t xml:space="preserve">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w:t>
      </w:r>
      <w:proofErr w:type="gramEnd"/>
      <w:r w:rsidRPr="002937E4">
        <w:rPr>
          <w:rFonts w:ascii="Times New Roman" w:hAnsi="Times New Roman"/>
          <w:sz w:val="28"/>
          <w:szCs w:val="28"/>
        </w:rPr>
        <w:t xml:space="preserve">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77777777" w:rsidR="004D5762" w:rsidRPr="002937E4" w:rsidRDefault="00CF22F2">
      <w:pPr>
        <w:pStyle w:val="af7"/>
        <w:numPr>
          <w:ilvl w:val="0"/>
          <w:numId w:val="9"/>
        </w:numPr>
        <w:tabs>
          <w:tab w:val="left" w:pos="426"/>
        </w:tabs>
        <w:ind w:left="0" w:firstLine="0"/>
        <w:jc w:val="center"/>
        <w:rPr>
          <w:rFonts w:ascii="Times New Roman" w:hAnsi="Times New Roman"/>
          <w:b/>
          <w:sz w:val="28"/>
          <w:szCs w:val="28"/>
        </w:rPr>
      </w:pPr>
      <w:r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pPr>
        <w:pStyle w:val="af7"/>
        <w:ind w:left="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77777777"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14:paraId="56DF5955" w14:textId="7B47EC0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proofErr w:type="gramStart"/>
      <w:r w:rsidRPr="002937E4">
        <w:rPr>
          <w:rFonts w:ascii="Times New Roman" w:hAnsi="Times New Roman"/>
          <w:sz w:val="28"/>
          <w:szCs w:val="28"/>
        </w:rPr>
        <w:lastRenderedPageBreak/>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w:t>
      </w:r>
      <w:proofErr w:type="gramEnd"/>
      <w:r w:rsidRPr="002937E4">
        <w:rPr>
          <w:rFonts w:ascii="Times New Roman" w:hAnsi="Times New Roman"/>
          <w:sz w:val="28"/>
          <w:szCs w:val="28"/>
        </w:rPr>
        <w:t xml:space="preserve"> закона от 3 декабря 2012 г. № 230-ФЗ "О </w:t>
      </w:r>
      <w:proofErr w:type="gramStart"/>
      <w:r w:rsidRPr="002937E4">
        <w:rPr>
          <w:rFonts w:ascii="Times New Roman" w:hAnsi="Times New Roman"/>
          <w:sz w:val="28"/>
          <w:szCs w:val="28"/>
        </w:rPr>
        <w:t>контроле за</w:t>
      </w:r>
      <w:proofErr w:type="gramEnd"/>
      <w:r w:rsidRPr="002937E4">
        <w:rPr>
          <w:rFonts w:ascii="Times New Roman" w:hAnsi="Times New Roman"/>
          <w:sz w:val="28"/>
          <w:szCs w:val="28"/>
        </w:rPr>
        <w:t xml:space="preserve"> соответствием расходов лиц, замещающих государственные должности, и иных лиц их доходам". В случае</w:t>
      </w:r>
      <w:proofErr w:type="gramStart"/>
      <w:r w:rsidRPr="002937E4">
        <w:rPr>
          <w:rFonts w:ascii="Times New Roman" w:hAnsi="Times New Roman"/>
          <w:sz w:val="28"/>
          <w:szCs w:val="28"/>
        </w:rPr>
        <w:t>,</w:t>
      </w:r>
      <w:proofErr w:type="gramEnd"/>
      <w:r w:rsidRPr="002937E4">
        <w:rPr>
          <w:rFonts w:ascii="Times New Roman" w:hAnsi="Times New Roman"/>
          <w:sz w:val="28"/>
          <w:szCs w:val="28"/>
        </w:rPr>
        <w:t xml:space="preserve">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w:t>
      </w:r>
      <w:proofErr w:type="gramStart"/>
      <w:r w:rsidRPr="002937E4">
        <w:rPr>
          <w:rFonts w:ascii="Times New Roman" w:hAnsi="Times New Roman"/>
          <w:sz w:val="28"/>
          <w:szCs w:val="28"/>
        </w:rPr>
        <w:t>поступающим</w:t>
      </w:r>
      <w:proofErr w:type="gramEnd"/>
      <w:r w:rsidRPr="002937E4">
        <w:rPr>
          <w:rFonts w:ascii="Times New Roman" w:hAnsi="Times New Roman"/>
          <w:sz w:val="28"/>
          <w:szCs w:val="28"/>
        </w:rPr>
        <w:t xml:space="preserve">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Pr="00E4439A" w:rsidRDefault="00CF22F2" w:rsidP="00466E69">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0663939D" w14:textId="77777777" w:rsidR="004D5762" w:rsidRPr="00C621E4" w:rsidRDefault="00421C65" w:rsidP="00466E69">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государственные должности Российской Федерации, государственные должности субъектов Российской Федерации, муниципальные должности, </w:t>
      </w:r>
      <w:r w:rsidR="00970EF1" w:rsidRPr="00C621E4">
        <w:rPr>
          <w:rFonts w:ascii="Times New Roman" w:hAnsi="Times New Roman"/>
          <w:sz w:val="28"/>
          <w:szCs w:val="28"/>
        </w:rPr>
        <w:t xml:space="preserve">должности государственной службы Российской Федерации, 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2023 года</w:t>
      </w:r>
      <w:r w:rsidR="00CF22F2" w:rsidRPr="00C621E4">
        <w:rPr>
          <w:rFonts w:ascii="Times New Roman" w:hAnsi="Times New Roman"/>
          <w:sz w:val="28"/>
          <w:szCs w:val="28"/>
        </w:rPr>
        <w:t>.</w:t>
      </w:r>
    </w:p>
    <w:p w14:paraId="3522B3F2" w14:textId="77777777" w:rsidR="00891356" w:rsidRPr="00C621E4" w:rsidRDefault="00421C65" w:rsidP="008E556F">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891356" w:rsidRPr="00C621E4">
        <w:rPr>
          <w:rFonts w:ascii="Times New Roman" w:hAnsi="Times New Roman"/>
          <w:sz w:val="28"/>
          <w:szCs w:val="28"/>
        </w:rPr>
        <w:t>ица</w:t>
      </w:r>
      <w:r w:rsidR="004F6179" w:rsidRPr="00C621E4">
        <w:rPr>
          <w:rFonts w:ascii="Times New Roman" w:hAnsi="Times New Roman"/>
          <w:sz w:val="28"/>
          <w:szCs w:val="28"/>
        </w:rPr>
        <w:t>,</w:t>
      </w:r>
      <w:r w:rsidR="00891356" w:rsidRPr="00C621E4">
        <w:rPr>
          <w:rFonts w:ascii="Times New Roman" w:hAnsi="Times New Roman"/>
          <w:sz w:val="28"/>
          <w:szCs w:val="28"/>
        </w:rPr>
        <w:t xml:space="preserve"> 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замещающи</w:t>
      </w:r>
      <w:r w:rsidRPr="00C621E4">
        <w:rPr>
          <w:rFonts w:ascii="Times New Roman" w:hAnsi="Times New Roman"/>
          <w:sz w:val="28"/>
          <w:szCs w:val="28"/>
        </w:rPr>
        <w:t>е</w:t>
      </w:r>
      <w:r w:rsidR="00891356" w:rsidRPr="00C621E4">
        <w:rPr>
          <w:rFonts w:ascii="Times New Roman" w:hAnsi="Times New Roman"/>
          <w:sz w:val="28"/>
          <w:szCs w:val="28"/>
        </w:rPr>
        <w:t xml:space="preserve">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w:t>
      </w:r>
      <w:r w:rsidRPr="00C621E4">
        <w:rPr>
          <w:rFonts w:ascii="Times New Roman" w:hAnsi="Times New Roman"/>
          <w:sz w:val="28"/>
          <w:szCs w:val="28"/>
        </w:rPr>
        <w:t>не представляют Сведения в рамках декларационной кампании 2023 года</w:t>
      </w:r>
      <w:r w:rsidR="00B503F0" w:rsidRPr="00C621E4">
        <w:rPr>
          <w:rFonts w:ascii="Times New Roman" w:hAnsi="Times New Roman"/>
          <w:sz w:val="28"/>
          <w:szCs w:val="28"/>
        </w:rPr>
        <w:t>.</w:t>
      </w:r>
    </w:p>
    <w:p w14:paraId="0F5E1BF3" w14:textId="77777777" w:rsidR="004D5762" w:rsidRDefault="00CF22F2" w:rsidP="0095434F">
      <w:pPr>
        <w:pStyle w:val="af7"/>
        <w:numPr>
          <w:ilvl w:val="0"/>
          <w:numId w:val="1"/>
        </w:numPr>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w:t>
      </w:r>
      <w:proofErr w:type="gramEnd"/>
      <w:r w:rsidRPr="002937E4">
        <w:rPr>
          <w:rFonts w:ascii="Times New Roman" w:hAnsi="Times New Roman"/>
          <w:sz w:val="28"/>
          <w:szCs w:val="28"/>
        </w:rPr>
        <w:t xml:space="preserve">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C621E4" w:rsidRDefault="000315CC" w:rsidP="00945AD8">
      <w:pPr>
        <w:pStyle w:val="af7"/>
        <w:numPr>
          <w:ilvl w:val="0"/>
          <w:numId w:val="1"/>
        </w:numPr>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C621E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C621E4">
        <w:rPr>
          <w:rFonts w:ascii="Times New Roman" w:hAnsi="Times New Roman"/>
          <w:sz w:val="28"/>
          <w:szCs w:val="28"/>
        </w:rPr>
        <w:t xml:space="preserve"> (далее –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00421C65" w:rsidRPr="00C621E4">
        <w:rPr>
          <w:rFonts w:ascii="Times New Roman" w:hAnsi="Times New Roman"/>
          <w:sz w:val="28"/>
          <w:szCs w:val="28"/>
        </w:rPr>
        <w:t>лица)</w:t>
      </w:r>
      <w:r w:rsidR="0095434F" w:rsidRPr="00C621E4">
        <w:rPr>
          <w:rFonts w:ascii="Times New Roman" w:hAnsi="Times New Roman"/>
          <w:sz w:val="28"/>
          <w:szCs w:val="28"/>
        </w:rPr>
        <w:t>, замещающие должности федеральной государственной службы, не предусмотренные</w:t>
      </w:r>
      <w:r w:rsidR="00945AD8" w:rsidRPr="00C621E4">
        <w:rPr>
          <w:rFonts w:ascii="Times New Roman" w:hAnsi="Times New Roman"/>
          <w:sz w:val="28"/>
          <w:szCs w:val="28"/>
        </w:rPr>
        <w:t xml:space="preserve"> соответствующим</w:t>
      </w:r>
      <w:r w:rsidR="0095434F" w:rsidRPr="00C621E4">
        <w:rPr>
          <w:rFonts w:ascii="Times New Roman" w:hAnsi="Times New Roman"/>
          <w:sz w:val="28"/>
          <w:szCs w:val="28"/>
        </w:rPr>
        <w:t xml:space="preserve"> </w:t>
      </w:r>
      <w:r w:rsidR="00945AD8" w:rsidRPr="00C621E4">
        <w:rPr>
          <w:rFonts w:ascii="Times New Roman" w:hAnsi="Times New Roman"/>
          <w:sz w:val="28"/>
          <w:szCs w:val="28"/>
        </w:rPr>
        <w:t>перечнем</w:t>
      </w:r>
      <w:proofErr w:type="gramEnd"/>
      <w:r w:rsidR="0095434F" w:rsidRPr="00C621E4">
        <w:rPr>
          <w:rFonts w:ascii="Times New Roman" w:hAnsi="Times New Roman"/>
          <w:sz w:val="28"/>
          <w:szCs w:val="28"/>
        </w:rPr>
        <w:t xml:space="preserve"> должностей</w:t>
      </w:r>
      <w:r w:rsidR="00FC0BED" w:rsidRPr="00C621E4">
        <w:rPr>
          <w:rFonts w:ascii="Times New Roman" w:hAnsi="Times New Roman"/>
          <w:sz w:val="28"/>
          <w:szCs w:val="28"/>
        </w:rPr>
        <w:t>,</w:t>
      </w:r>
      <w:r w:rsidR="0095434F" w:rsidRPr="00C621E4">
        <w:rPr>
          <w:rFonts w:ascii="Times New Roman" w:hAnsi="Times New Roman"/>
          <w:sz w:val="28"/>
          <w:szCs w:val="28"/>
        </w:rPr>
        <w:t xml:space="preserve"> </w:t>
      </w:r>
      <w:r w:rsidR="00945AD8" w:rsidRPr="00C621E4">
        <w:rPr>
          <w:rFonts w:ascii="Times New Roman" w:hAnsi="Times New Roman"/>
          <w:sz w:val="28"/>
          <w:szCs w:val="28"/>
        </w:rPr>
        <w:t>и</w:t>
      </w:r>
      <w:r w:rsidR="0095434F" w:rsidRPr="00C621E4">
        <w:rPr>
          <w:rFonts w:ascii="Times New Roman" w:hAnsi="Times New Roman"/>
          <w:sz w:val="28"/>
          <w:szCs w:val="28"/>
        </w:rPr>
        <w:t xml:space="preserve"> претендующие </w:t>
      </w:r>
      <w:r w:rsidR="00945AD8" w:rsidRPr="00C621E4">
        <w:rPr>
          <w:rFonts w:ascii="Times New Roman" w:hAnsi="Times New Roman"/>
          <w:sz w:val="28"/>
          <w:szCs w:val="28"/>
        </w:rPr>
        <w:t>н</w:t>
      </w:r>
      <w:r w:rsidR="0095434F" w:rsidRPr="00C621E4">
        <w:rPr>
          <w:rFonts w:ascii="Times New Roman" w:hAnsi="Times New Roman"/>
          <w:sz w:val="28"/>
          <w:szCs w:val="28"/>
        </w:rPr>
        <w:t xml:space="preserve">а замещение должностей </w:t>
      </w:r>
      <w:r w:rsidR="00945AD8" w:rsidRPr="00C621E4">
        <w:rPr>
          <w:rFonts w:ascii="Times New Roman" w:hAnsi="Times New Roman"/>
          <w:sz w:val="28"/>
          <w:szCs w:val="28"/>
        </w:rPr>
        <w:t>ф</w:t>
      </w:r>
      <w:r w:rsidR="0095434F" w:rsidRPr="00C621E4">
        <w:rPr>
          <w:rFonts w:ascii="Times New Roman" w:hAnsi="Times New Roman"/>
          <w:sz w:val="28"/>
          <w:szCs w:val="28"/>
        </w:rPr>
        <w:t xml:space="preserve">едеральной государственной службы, предусмотренных </w:t>
      </w:r>
      <w:r w:rsidR="00945AD8" w:rsidRPr="00C621E4">
        <w:rPr>
          <w:rFonts w:ascii="Times New Roman" w:hAnsi="Times New Roman"/>
          <w:sz w:val="28"/>
          <w:szCs w:val="28"/>
        </w:rPr>
        <w:t xml:space="preserve">таким перечнем, </w:t>
      </w:r>
      <w:r w:rsidR="00FC0BED" w:rsidRPr="00C621E4">
        <w:rPr>
          <w:rFonts w:ascii="Times New Roman" w:hAnsi="Times New Roman"/>
          <w:sz w:val="28"/>
          <w:szCs w:val="28"/>
        </w:rPr>
        <w:t>н</w:t>
      </w:r>
      <w:r w:rsidR="0095434F" w:rsidRPr="00C621E4">
        <w:rPr>
          <w:rFonts w:ascii="Times New Roman" w:hAnsi="Times New Roman"/>
          <w:sz w:val="28"/>
          <w:szCs w:val="28"/>
        </w:rPr>
        <w:t xml:space="preserve">е представляют </w:t>
      </w:r>
      <w:r w:rsidR="00945AD8" w:rsidRPr="00C621E4">
        <w:rPr>
          <w:rFonts w:ascii="Times New Roman" w:hAnsi="Times New Roman"/>
          <w:sz w:val="28"/>
          <w:szCs w:val="28"/>
        </w:rPr>
        <w:t>С</w:t>
      </w:r>
      <w:r w:rsidR="0095434F" w:rsidRPr="00C621E4">
        <w:rPr>
          <w:rFonts w:ascii="Times New Roman" w:hAnsi="Times New Roman"/>
          <w:sz w:val="28"/>
          <w:szCs w:val="28"/>
        </w:rPr>
        <w:t>ведения в случае если:</w:t>
      </w:r>
    </w:p>
    <w:p w14:paraId="74AA5AA9" w14:textId="78256F35" w:rsidR="0095434F" w:rsidRPr="00C621E4" w:rsidRDefault="0095434F" w:rsidP="00421C65">
      <w:pPr>
        <w:pStyle w:val="af7"/>
        <w:numPr>
          <w:ilvl w:val="1"/>
          <w:numId w:val="1"/>
        </w:numPr>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такие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Pr="00C621E4">
        <w:rPr>
          <w:rFonts w:ascii="Times New Roman" w:hAnsi="Times New Roman"/>
          <w:sz w:val="28"/>
          <w:szCs w:val="28"/>
        </w:rPr>
        <w:t>лица принимают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принимали</w:t>
      </w:r>
      <w:r w:rsidR="0053724A" w:rsidRPr="00C621E4">
        <w:rPr>
          <w:rFonts w:ascii="Times New Roman" w:hAnsi="Times New Roman"/>
          <w:sz w:val="28"/>
          <w:szCs w:val="28"/>
        </w:rPr>
        <w:t xml:space="preserve"> </w:t>
      </w:r>
      <w:r w:rsidRPr="00C621E4">
        <w:rPr>
          <w:rFonts w:ascii="Times New Roman" w:hAnsi="Times New Roman"/>
          <w:sz w:val="28"/>
          <w:szCs w:val="28"/>
        </w:rPr>
        <w:t>участие в специальной военной операции или непосредственно выполняют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 xml:space="preserve">выполняли </w:t>
      </w:r>
      <w:r w:rsidRPr="00C621E4">
        <w:rPr>
          <w:rFonts w:ascii="Times New Roman" w:hAnsi="Times New Roman"/>
          <w:sz w:val="28"/>
          <w:szCs w:val="28"/>
        </w:rPr>
        <w:t xml:space="preserve">задачи, связанные </w:t>
      </w:r>
      <w:r w:rsidR="00945AD8" w:rsidRPr="00C621E4">
        <w:rPr>
          <w:rFonts w:ascii="Times New Roman" w:hAnsi="Times New Roman"/>
          <w:sz w:val="28"/>
          <w:szCs w:val="28"/>
        </w:rPr>
        <w:t xml:space="preserve">с </w:t>
      </w:r>
      <w:r w:rsidRPr="00C621E4">
        <w:rPr>
          <w:rFonts w:ascii="Times New Roman" w:hAnsi="Times New Roman"/>
          <w:sz w:val="28"/>
          <w:szCs w:val="28"/>
        </w:rPr>
        <w:t>ее проведе</w:t>
      </w:r>
      <w:r w:rsidR="00945AD8" w:rsidRPr="00C621E4">
        <w:rPr>
          <w:rFonts w:ascii="Times New Roman" w:hAnsi="Times New Roman"/>
          <w:sz w:val="28"/>
          <w:szCs w:val="28"/>
        </w:rPr>
        <w:t xml:space="preserve">нием, на территориях Донецкой </w:t>
      </w:r>
      <w:r w:rsidRPr="00C621E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0053724A" w:rsidRPr="00C621E4">
        <w:rPr>
          <w:rFonts w:ascii="Times New Roman" w:hAnsi="Times New Roman"/>
          <w:sz w:val="28"/>
          <w:szCs w:val="28"/>
        </w:rPr>
        <w:t xml:space="preserve"> (вне зависимости от продолжительности и периода участия (выполнения задач)</w:t>
      </w:r>
      <w:r w:rsidRPr="00C621E4">
        <w:rPr>
          <w:rFonts w:ascii="Times New Roman" w:hAnsi="Times New Roman"/>
          <w:sz w:val="28"/>
          <w:szCs w:val="28"/>
        </w:rPr>
        <w:t>;</w:t>
      </w:r>
      <w:proofErr w:type="gramEnd"/>
    </w:p>
    <w:p w14:paraId="4664F2AD" w14:textId="77777777" w:rsidR="00FC0BED" w:rsidRPr="00C621E4" w:rsidRDefault="00945AD8"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планируется участие таких военнослужащих, сотрудников</w:t>
      </w:r>
      <w:r w:rsidR="00421C65" w:rsidRPr="00C621E4">
        <w:rPr>
          <w:rFonts w:ascii="Times New Roman" w:hAnsi="Times New Roman"/>
          <w:sz w:val="28"/>
          <w:szCs w:val="28"/>
        </w:rPr>
        <w:t xml:space="preserve"> и</w:t>
      </w:r>
      <w:r w:rsidRPr="00C621E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C621E4">
        <w:t xml:space="preserve"> </w:t>
      </w:r>
      <w:r w:rsidRPr="00C621E4">
        <w:rPr>
          <w:rFonts w:ascii="Times New Roman" w:hAnsi="Times New Roman"/>
          <w:sz w:val="28"/>
          <w:szCs w:val="28"/>
        </w:rPr>
        <w:t>Народной Республики, Луганской Народной Республики, Запорожской области</w:t>
      </w:r>
      <w:r w:rsidR="00421C65" w:rsidRPr="00C621E4">
        <w:rPr>
          <w:rFonts w:ascii="Times New Roman" w:hAnsi="Times New Roman"/>
          <w:sz w:val="28"/>
          <w:szCs w:val="28"/>
        </w:rPr>
        <w:t>, Херсонской области и Украины (если планируемое участие не состоялось и (или) отменено, данный подпункт не применяется).</w:t>
      </w:r>
    </w:p>
    <w:p w14:paraId="29BEC10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Обязательность представления Сведений</w:t>
      </w:r>
    </w:p>
    <w:p w14:paraId="15FFC56B" w14:textId="0102CE21"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антикоррупционным законодательством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лица, направленные (командированные) для выполнения задач</w:t>
      </w:r>
      <w:proofErr w:type="gramEnd"/>
      <w:r w:rsidR="0036730C" w:rsidRPr="00C621E4">
        <w:rPr>
          <w:rFonts w:ascii="Times New Roman" w:hAnsi="Times New Roman"/>
          <w:sz w:val="28"/>
          <w:szCs w:val="28"/>
        </w:rPr>
        <w:t xml:space="preserve">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Pr="00C621E4"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D81CF9F" w:rsidR="001F7B71"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proofErr w:type="gramStart"/>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proofErr w:type="gramStart"/>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w:t>
      </w:r>
      <w:proofErr w:type="gramEnd"/>
      <w:r w:rsidRPr="009F6DEF">
        <w:rPr>
          <w:rFonts w:ascii="Times New Roman" w:hAnsi="Times New Roman"/>
          <w:sz w:val="28"/>
          <w:szCs w:val="28"/>
        </w:rPr>
        <w:t xml:space="preserve">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63E4F8C"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12</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2937E4"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roofErr w:type="gramEnd"/>
    </w:p>
    <w:p w14:paraId="599324CC"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roofErr w:type="gramEnd"/>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3997F11B"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10</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Временно </w:t>
      </w:r>
      <w:proofErr w:type="gramStart"/>
      <w:r w:rsidRPr="002937E4">
        <w:rPr>
          <w:rFonts w:ascii="Times New Roman" w:hAnsi="Times New Roman"/>
          <w:sz w:val="28"/>
          <w:szCs w:val="28"/>
        </w:rPr>
        <w:t>исполняющий</w:t>
      </w:r>
      <w:proofErr w:type="gramEnd"/>
      <w:r w:rsidRPr="002937E4">
        <w:rPr>
          <w:rFonts w:ascii="Times New Roman" w:hAnsi="Times New Roman"/>
          <w:sz w:val="28"/>
          <w:szCs w:val="28"/>
        </w:rPr>
        <w:t xml:space="preserve">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777777" w:rsidR="004D5762" w:rsidRPr="002937E4" w:rsidRDefault="00CF22F2">
      <w:pPr>
        <w:pStyle w:val="af7"/>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w:t>
      </w:r>
      <w:proofErr w:type="gramEnd"/>
      <w:r w:rsidRPr="002937E4">
        <w:rPr>
          <w:rFonts w:ascii="Times New Roman" w:hAnsi="Times New Roman"/>
          <w:sz w:val="28"/>
          <w:szCs w:val="28"/>
        </w:rPr>
        <w:t xml:space="preserve">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proofErr w:type="gramStart"/>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отчужденных</w:t>
      </w:r>
      <w:proofErr w:type="gramEnd"/>
      <w:r w:rsidRPr="002937E4">
        <w:rPr>
          <w:rFonts w:ascii="Times New Roman" w:hAnsi="Times New Roman"/>
          <w:sz w:val="28"/>
          <w:szCs w:val="28"/>
        </w:rPr>
        <w:t xml:space="preserve">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1EBDC945" w:rsidR="004D5762" w:rsidRPr="002937E4" w:rsidRDefault="00CF22F2">
      <w:pPr>
        <w:pStyle w:val="af7"/>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roofErr w:type="gramEnd"/>
    </w:p>
    <w:p w14:paraId="65D6CDD5" w14:textId="0B9F4806"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0525D0">
        <w:rPr>
          <w:rFonts w:ascii="Times New Roman" w:hAnsi="Times New Roman"/>
          <w:sz w:val="28"/>
          <w:szCs w:val="28"/>
        </w:rPr>
        <w:t>18</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в</w:t>
      </w:r>
      <w:proofErr w:type="gramEnd"/>
      <w:r w:rsidRPr="002937E4">
        <w:rPr>
          <w:rFonts w:ascii="Times New Roman" w:hAnsi="Times New Roman"/>
          <w:sz w:val="28"/>
          <w:szCs w:val="28"/>
        </w:rPr>
        <w:t xml:space="preserve">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w:t>
      </w:r>
      <w:proofErr w:type="gramEnd"/>
      <w:r w:rsidRPr="002937E4">
        <w:rPr>
          <w:rFonts w:ascii="Times New Roman" w:hAnsi="Times New Roman"/>
          <w:sz w:val="28"/>
          <w:szCs w:val="28"/>
        </w:rPr>
        <w:t xml:space="preserve"> доходах, об имуществе и обязательствах имущественного характера, </w:t>
      </w:r>
      <w:proofErr w:type="gramStart"/>
      <w:r w:rsidRPr="002937E4">
        <w:rPr>
          <w:rFonts w:ascii="Times New Roman" w:hAnsi="Times New Roman"/>
          <w:sz w:val="28"/>
          <w:szCs w:val="28"/>
        </w:rPr>
        <w:t>утвержденное</w:t>
      </w:r>
      <w:proofErr w:type="gramEnd"/>
      <w:r w:rsidRPr="002937E4">
        <w:rPr>
          <w:rFonts w:ascii="Times New Roman" w:hAnsi="Times New Roman"/>
          <w:sz w:val="28"/>
          <w:szCs w:val="28"/>
        </w:rPr>
        <w:t xml:space="preserve"> Указом Президента Российской Федерации от 18 мая 2009 г. № 558).</w:t>
      </w:r>
    </w:p>
    <w:p w14:paraId="34864528"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Представление Сведений после увольнения служащего (работника) в период с 1 января по 1 (30) апреля 2023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2023 году </w:t>
            </w:r>
            <w:r w:rsidRPr="002937E4">
              <w:rPr>
                <w:rFonts w:ascii="Times New Roman" w:hAnsi="Times New Roman"/>
                <w:sz w:val="28"/>
                <w:szCs w:val="28"/>
              </w:rPr>
              <w:br/>
              <w:t>(за отчетный 2022 г.)</w:t>
            </w:r>
          </w:p>
        </w:tc>
      </w:tr>
      <w:tr w:rsidR="004D5762" w:rsidRPr="002937E4" w14:paraId="74996472" w14:textId="77777777">
        <w:tc>
          <w:tcPr>
            <w:tcW w:w="3119" w:type="dxa"/>
            <w:shd w:val="clear" w:color="auto" w:fill="auto"/>
          </w:tcPr>
          <w:p w14:paraId="5AFB131C" w14:textId="77777777"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Брак заключен в органах записи актов гражданского состояния (далее – ЗАГС) в ноябре 2022 года</w:t>
            </w:r>
          </w:p>
        </w:tc>
        <w:tc>
          <w:tcPr>
            <w:tcW w:w="7229" w:type="dxa"/>
            <w:shd w:val="clear" w:color="auto" w:fill="auto"/>
          </w:tcPr>
          <w:p w14:paraId="6D1909C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4D5762" w:rsidRPr="002937E4" w14:paraId="20E85CFA" w14:textId="77777777">
        <w:tc>
          <w:tcPr>
            <w:tcW w:w="3119" w:type="dxa"/>
            <w:shd w:val="clear" w:color="auto" w:fill="auto"/>
          </w:tcPr>
          <w:p w14:paraId="3BAF502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2023 года</w:t>
            </w:r>
          </w:p>
        </w:tc>
        <w:tc>
          <w:tcPr>
            <w:tcW w:w="7229" w:type="dxa"/>
            <w:shd w:val="clear" w:color="auto" w:fill="auto"/>
          </w:tcPr>
          <w:p w14:paraId="4FA2501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2022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48318F89" w14:textId="77777777">
        <w:trPr>
          <w:trHeight w:val="660"/>
        </w:trPr>
        <w:tc>
          <w:tcPr>
            <w:tcW w:w="3119" w:type="dxa"/>
            <w:shd w:val="clear" w:color="auto" w:fill="auto"/>
          </w:tcPr>
          <w:p w14:paraId="3684BF7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1 февраля 2023 года</w:t>
            </w:r>
          </w:p>
        </w:tc>
        <w:tc>
          <w:tcPr>
            <w:tcW w:w="7229" w:type="dxa"/>
            <w:shd w:val="clear" w:color="auto" w:fill="auto"/>
          </w:tcPr>
          <w:p w14:paraId="1DB1C72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представляются, поскольку по состоянию на отчетную дату (1 августа 2023 года) гражданин состоял в браке</w:t>
            </w:r>
          </w:p>
        </w:tc>
      </w:tr>
      <w:tr w:rsidR="004D5762" w:rsidRPr="002937E4" w14:paraId="1AF10466" w14:textId="77777777">
        <w:trPr>
          <w:trHeight w:val="131"/>
        </w:trPr>
        <w:tc>
          <w:tcPr>
            <w:tcW w:w="3119" w:type="dxa"/>
            <w:shd w:val="clear" w:color="auto" w:fill="auto"/>
          </w:tcPr>
          <w:p w14:paraId="305C6458"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2 августа 2023 года</w:t>
            </w:r>
          </w:p>
        </w:tc>
        <w:tc>
          <w:tcPr>
            <w:tcW w:w="7229" w:type="dxa"/>
            <w:shd w:val="clear" w:color="auto" w:fill="auto"/>
          </w:tcPr>
          <w:p w14:paraId="63825B2F"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42AAEDE5" w14:textId="77777777">
        <w:trPr>
          <w:trHeight w:val="435"/>
        </w:trPr>
        <w:tc>
          <w:tcPr>
            <w:tcW w:w="3147" w:type="dxa"/>
          </w:tcPr>
          <w:p w14:paraId="49B86A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2022 года</w:t>
            </w:r>
          </w:p>
        </w:tc>
        <w:tc>
          <w:tcPr>
            <w:tcW w:w="7201" w:type="dxa"/>
          </w:tcPr>
          <w:p w14:paraId="42DD665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4D5762" w:rsidRPr="002937E4" w14:paraId="3082C472" w14:textId="77777777">
        <w:trPr>
          <w:trHeight w:val="435"/>
        </w:trPr>
        <w:tc>
          <w:tcPr>
            <w:tcW w:w="3147" w:type="dxa"/>
          </w:tcPr>
          <w:p w14:paraId="3275341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12 декабря 2022 года и вступило в законную силу 12 января 2023 года</w:t>
            </w:r>
          </w:p>
        </w:tc>
        <w:tc>
          <w:tcPr>
            <w:tcW w:w="7201" w:type="dxa"/>
          </w:tcPr>
          <w:p w14:paraId="555B74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2023 года </w:t>
            </w:r>
          </w:p>
        </w:tc>
        <w:tc>
          <w:tcPr>
            <w:tcW w:w="7201" w:type="dxa"/>
          </w:tcPr>
          <w:p w14:paraId="419CDFA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4D5762" w:rsidRPr="002937E4" w14:paraId="05825972" w14:textId="77777777">
        <w:trPr>
          <w:trHeight w:val="435"/>
        </w:trPr>
        <w:tc>
          <w:tcPr>
            <w:tcW w:w="10348" w:type="dxa"/>
            <w:gridSpan w:val="2"/>
          </w:tcPr>
          <w:p w14:paraId="30714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5D56BBE2" w14:textId="77777777">
        <w:trPr>
          <w:trHeight w:val="435"/>
        </w:trPr>
        <w:tc>
          <w:tcPr>
            <w:tcW w:w="3147" w:type="dxa"/>
          </w:tcPr>
          <w:p w14:paraId="74AE1A8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2023 года</w:t>
            </w:r>
          </w:p>
        </w:tc>
        <w:tc>
          <w:tcPr>
            <w:tcW w:w="7201" w:type="dxa"/>
          </w:tcPr>
          <w:p w14:paraId="563C2B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4D5762" w:rsidRPr="002937E4" w14:paraId="3ECB9E7F" w14:textId="77777777">
        <w:trPr>
          <w:trHeight w:val="435"/>
        </w:trPr>
        <w:tc>
          <w:tcPr>
            <w:tcW w:w="3147" w:type="dxa"/>
          </w:tcPr>
          <w:p w14:paraId="6372B7C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2023 года </w:t>
            </w:r>
          </w:p>
        </w:tc>
        <w:tc>
          <w:tcPr>
            <w:tcW w:w="7201" w:type="dxa"/>
          </w:tcPr>
          <w:p w14:paraId="430200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4D5762" w:rsidRPr="002937E4" w14:paraId="6BC84C11" w14:textId="77777777">
        <w:trPr>
          <w:trHeight w:val="435"/>
        </w:trPr>
        <w:tc>
          <w:tcPr>
            <w:tcW w:w="3147" w:type="dxa"/>
          </w:tcPr>
          <w:p w14:paraId="248C43E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4 июля 2023 года и вступило в законную силу 4 августа 2023 г.</w:t>
            </w:r>
          </w:p>
        </w:tc>
        <w:tc>
          <w:tcPr>
            <w:tcW w:w="7201" w:type="dxa"/>
          </w:tcPr>
          <w:p w14:paraId="3416DA7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roofErr w:type="gramEnd"/>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C621E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8F47576" w14:textId="67C028D7" w:rsidR="00590914" w:rsidRPr="00BB6F00" w:rsidRDefault="00590914" w:rsidP="00FC46E1">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Непредставление Сведений в отношении своей супруги (супруга), указанной </w:t>
      </w:r>
      <w:r w:rsidRPr="00BB6F00">
        <w:rPr>
          <w:rFonts w:ascii="Times New Roman" w:hAnsi="Times New Roman"/>
          <w:sz w:val="28"/>
          <w:szCs w:val="28"/>
        </w:rPr>
        <w:t xml:space="preserve">в пункте </w:t>
      </w:r>
      <w:r w:rsidR="007A1B69">
        <w:rPr>
          <w:rFonts w:ascii="Times New Roman" w:hAnsi="Times New Roman"/>
          <w:sz w:val="28"/>
          <w:szCs w:val="28"/>
        </w:rPr>
        <w:t>27</w:t>
      </w:r>
      <w:r w:rsidRPr="00BB6F00">
        <w:rPr>
          <w:rFonts w:ascii="Times New Roman" w:hAnsi="Times New Roman"/>
          <w:sz w:val="28"/>
          <w:szCs w:val="28"/>
        </w:rPr>
        <w:t xml:space="preserve"> настоящих Методических рекомендаций:</w:t>
      </w:r>
    </w:p>
    <w:p w14:paraId="754AF2A0" w14:textId="5A2100AF" w:rsidR="00590914" w:rsidRPr="00C621E4" w:rsidRDefault="00590914" w:rsidP="00FC46E1">
      <w:pPr>
        <w:pStyle w:val="af7"/>
        <w:tabs>
          <w:tab w:val="left" w:pos="1134"/>
        </w:tabs>
        <w:ind w:left="0" w:firstLine="567"/>
        <w:rPr>
          <w:rFonts w:ascii="Times New Roman" w:hAnsi="Times New Roman"/>
          <w:sz w:val="28"/>
          <w:szCs w:val="28"/>
        </w:rPr>
      </w:pPr>
      <w:r w:rsidRPr="00BB6F00">
        <w:rPr>
          <w:rFonts w:ascii="Times New Roman" w:hAnsi="Times New Roman"/>
          <w:sz w:val="28"/>
          <w:szCs w:val="28"/>
        </w:rPr>
        <w:t>1) служащим (работником</w:t>
      </w:r>
      <w:r w:rsidRPr="00C621E4">
        <w:rPr>
          <w:rFonts w:ascii="Times New Roman" w:hAnsi="Times New Roman"/>
          <w:sz w:val="28"/>
          <w:szCs w:val="28"/>
        </w:rPr>
        <w:t>) в ситуациях, предусмотренных пунктом 1 настоящих Методических рекомендаций,</w:t>
      </w:r>
      <w:r w:rsidR="00FC46E1" w:rsidRPr="00C621E4">
        <w:rPr>
          <w:rFonts w:ascii="Times New Roman" w:hAnsi="Times New Roman"/>
          <w:sz w:val="28"/>
          <w:szCs w:val="28"/>
        </w:rPr>
        <w:t xml:space="preserve"> не требует направления и соответствующего рассмотрения заявления, </w:t>
      </w:r>
      <w:r w:rsidR="00FC46E1" w:rsidRPr="00BB6F00">
        <w:rPr>
          <w:rFonts w:ascii="Times New Roman" w:hAnsi="Times New Roman"/>
          <w:sz w:val="28"/>
          <w:szCs w:val="28"/>
        </w:rPr>
        <w:t xml:space="preserve">предусмотренного пунктом </w:t>
      </w:r>
      <w:r w:rsidR="007A1B69">
        <w:rPr>
          <w:rFonts w:ascii="Times New Roman" w:hAnsi="Times New Roman"/>
          <w:sz w:val="28"/>
          <w:szCs w:val="28"/>
        </w:rPr>
        <w:t>39</w:t>
      </w:r>
      <w:r w:rsidR="00FC46E1" w:rsidRPr="00C621E4">
        <w:rPr>
          <w:rFonts w:ascii="Times New Roman" w:hAnsi="Times New Roman"/>
          <w:sz w:val="28"/>
          <w:szCs w:val="28"/>
        </w:rPr>
        <w:t xml:space="preserve"> настоящих Методических рекомендаций;</w:t>
      </w:r>
    </w:p>
    <w:p w14:paraId="574ADE42" w14:textId="77777777" w:rsidR="00590914" w:rsidRPr="00C621E4" w:rsidRDefault="00590914"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гражданином в ситуациях, предусмотренных пунктом 2 настоящих Методических рекомендаций, не может являться основанием для от</w:t>
      </w:r>
      <w:r w:rsidR="00FC46E1" w:rsidRPr="00C621E4">
        <w:rPr>
          <w:rFonts w:ascii="Times New Roman" w:hAnsi="Times New Roman"/>
          <w:sz w:val="28"/>
          <w:szCs w:val="28"/>
        </w:rPr>
        <w:t>каза в поступлении (назначении);</w:t>
      </w:r>
    </w:p>
    <w:p w14:paraId="6E3D66CF" w14:textId="77777777" w:rsidR="00FC46E1" w:rsidRPr="00C621E4" w:rsidRDefault="00FC46E1"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служащим (работником) в ситуациях, предусмотренных пунктом 4 настоящих Методических рекомендаций, не может являться основанием для отказа </w:t>
      </w:r>
      <w:r w:rsidR="00725E0A" w:rsidRPr="00C621E4">
        <w:rPr>
          <w:rFonts w:ascii="Times New Roman" w:hAnsi="Times New Roman"/>
          <w:sz w:val="28"/>
          <w:szCs w:val="28"/>
        </w:rPr>
        <w:t xml:space="preserve">в </w:t>
      </w:r>
      <w:r w:rsidRPr="00C621E4">
        <w:rPr>
          <w:rFonts w:ascii="Times New Roman" w:hAnsi="Times New Roman"/>
          <w:sz w:val="28"/>
          <w:szCs w:val="28"/>
        </w:rPr>
        <w:t>назначении.</w:t>
      </w:r>
    </w:p>
    <w:p w14:paraId="449E156D" w14:textId="77777777" w:rsidR="005C1C7A" w:rsidRPr="005C1C7A" w:rsidRDefault="005C1C7A" w:rsidP="00FC46E1">
      <w:pPr>
        <w:tabs>
          <w:tab w:val="left" w:pos="1134"/>
        </w:tabs>
        <w:ind w:firstLine="0"/>
        <w:rPr>
          <w:rFonts w:ascii="Times New Roman" w:hAnsi="Times New Roman"/>
          <w:sz w:val="28"/>
          <w:szCs w:val="28"/>
        </w:rPr>
      </w:pP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16AAA76A" w14:textId="77777777">
        <w:trPr>
          <w:trHeight w:val="435"/>
        </w:trPr>
        <w:tc>
          <w:tcPr>
            <w:tcW w:w="3119" w:type="dxa"/>
          </w:tcPr>
          <w:p w14:paraId="4B91D2B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21 мая 2022 года исполнилось 18 лет</w:t>
            </w:r>
          </w:p>
        </w:tc>
        <w:tc>
          <w:tcPr>
            <w:tcW w:w="7229" w:type="dxa"/>
          </w:tcPr>
          <w:p w14:paraId="344D5B0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30 декабря 2022 года исполнилось 18 лет</w:t>
            </w:r>
          </w:p>
        </w:tc>
        <w:tc>
          <w:tcPr>
            <w:tcW w:w="7229" w:type="dxa"/>
          </w:tcPr>
          <w:p w14:paraId="17145D0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31 декабря 2022 года исполнилось 18 лет</w:t>
            </w:r>
          </w:p>
        </w:tc>
        <w:tc>
          <w:tcPr>
            <w:tcW w:w="7229" w:type="dxa"/>
          </w:tcPr>
          <w:p w14:paraId="48A1127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4D5762" w:rsidRPr="002937E4" w14:paraId="291E66A0" w14:textId="77777777">
        <w:trPr>
          <w:trHeight w:val="435"/>
        </w:trPr>
        <w:tc>
          <w:tcPr>
            <w:tcW w:w="3119" w:type="dxa"/>
          </w:tcPr>
          <w:p w14:paraId="54094D5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5 мая 2023 года исполнилось 18 лет</w:t>
            </w:r>
          </w:p>
        </w:tc>
        <w:tc>
          <w:tcPr>
            <w:tcW w:w="7229" w:type="dxa"/>
          </w:tcPr>
          <w:p w14:paraId="03E952E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4D5762" w:rsidRPr="002937E4" w14:paraId="68B43826" w14:textId="77777777">
        <w:trPr>
          <w:trHeight w:val="435"/>
        </w:trPr>
        <w:tc>
          <w:tcPr>
            <w:tcW w:w="3119" w:type="dxa"/>
          </w:tcPr>
          <w:p w14:paraId="0E53C18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 августа 2023 года исполнилось 18 лет</w:t>
            </w:r>
          </w:p>
        </w:tc>
        <w:tc>
          <w:tcPr>
            <w:tcW w:w="7229" w:type="dxa"/>
          </w:tcPr>
          <w:p w14:paraId="3E33EA6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4D5762" w:rsidRPr="002937E4" w14:paraId="12E06030" w14:textId="77777777">
        <w:trPr>
          <w:trHeight w:val="435"/>
        </w:trPr>
        <w:tc>
          <w:tcPr>
            <w:tcW w:w="3119" w:type="dxa"/>
          </w:tcPr>
          <w:p w14:paraId="64DAF5A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17 августа 2023 года исполнилось 18 лет</w:t>
            </w:r>
          </w:p>
        </w:tc>
        <w:tc>
          <w:tcPr>
            <w:tcW w:w="7229" w:type="dxa"/>
          </w:tcPr>
          <w:p w14:paraId="3F0DE3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2023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proofErr w:type="gramStart"/>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77777777"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roofErr w:type="gramStart"/>
      <w:r w:rsidRPr="006848CC">
        <w:rPr>
          <w:rFonts w:ascii="Times New Roman" w:hAnsi="Times New Roman"/>
          <w:sz w:val="28"/>
          <w:szCs w:val="28"/>
        </w:rPr>
        <w:t>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служащему (работнику) рекомендуется к представляемой в 2023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2021 году, но не отраженного в справке, представленной в рамках декларационной кампании</w:t>
      </w:r>
      <w:proofErr w:type="gramEnd"/>
      <w:r w:rsidR="008621DE" w:rsidRPr="006848CC">
        <w:rPr>
          <w:rFonts w:ascii="Times New Roman" w:hAnsi="Times New Roman"/>
          <w:sz w:val="28"/>
          <w:szCs w:val="28"/>
        </w:rPr>
        <w:t xml:space="preserve"> </w:t>
      </w:r>
      <w:proofErr w:type="gramStart"/>
      <w:r w:rsidR="008621DE" w:rsidRPr="006848CC">
        <w:rPr>
          <w:rFonts w:ascii="Times New Roman" w:hAnsi="Times New Roman"/>
          <w:sz w:val="28"/>
          <w:szCs w:val="28"/>
        </w:rPr>
        <w:t>2022 года</w:t>
      </w:r>
      <w:r w:rsidR="007C2739" w:rsidRPr="006848CC">
        <w:rPr>
          <w:rFonts w:ascii="Times New Roman" w:hAnsi="Times New Roman"/>
          <w:sz w:val="28"/>
          <w:szCs w:val="28"/>
        </w:rPr>
        <w:t>)</w:t>
      </w:r>
      <w:r w:rsidRPr="006848CC">
        <w:rPr>
          <w:rFonts w:ascii="Times New Roman" w:hAnsi="Times New Roman"/>
          <w:sz w:val="28"/>
          <w:szCs w:val="28"/>
        </w:rPr>
        <w:t xml:space="preserve">. </w:t>
      </w:r>
      <w:proofErr w:type="gramEnd"/>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77777777"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Рекомендуемые действия при невозможности представить Сведения в отношении члена семьи</w:t>
      </w:r>
    </w:p>
    <w:p w14:paraId="61E699F7" w14:textId="77777777" w:rsidR="004D5762" w:rsidRPr="002937E4" w:rsidRDefault="00CF22F2">
      <w:pPr>
        <w:pStyle w:val="af7"/>
        <w:numPr>
          <w:ilvl w:val="0"/>
          <w:numId w:val="1"/>
        </w:numPr>
        <w:tabs>
          <w:tab w:val="left" w:pos="1134"/>
        </w:tabs>
        <w:ind w:left="0" w:firstLine="567"/>
        <w:rPr>
          <w:rFonts w:ascii="Times New Roman" w:hAnsi="Times New Roman"/>
          <w:sz w:val="28"/>
          <w:szCs w:val="28"/>
        </w:rPr>
      </w:pPr>
      <w:proofErr w:type="gramStart"/>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утвержденного Указом Президента Российской Федерации от 9 октября 2017 г. №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w:t>
      </w:r>
      <w:proofErr w:type="gramEnd"/>
      <w:r w:rsidRPr="002937E4">
        <w:rPr>
          <w:rFonts w:ascii="Times New Roman" w:hAnsi="Times New Roman"/>
          <w:sz w:val="28"/>
          <w:szCs w:val="28"/>
        </w:rPr>
        <w:t xml:space="preserve"> от 23 июня 2014 г. № 460".</w:t>
      </w:r>
    </w:p>
    <w:p w14:paraId="66AD7B69" w14:textId="77777777"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39446ABB" w14:textId="77777777" w:rsidR="004D5762" w:rsidRPr="002937E4" w:rsidRDefault="00CF22F2">
            <w:pPr>
              <w:ind w:firstLine="0"/>
              <w:rPr>
                <w:rFonts w:ascii="Times New Roman" w:hAnsi="Times New Roman"/>
                <w:sz w:val="28"/>
                <w:szCs w:val="28"/>
              </w:rPr>
            </w:pPr>
            <w:proofErr w:type="gramStart"/>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случае</w:t>
            </w:r>
            <w:proofErr w:type="gramEnd"/>
            <w:r w:rsidRPr="002937E4">
              <w:rPr>
                <w:rFonts w:ascii="Times New Roman" w:hAnsi="Times New Roman"/>
                <w:sz w:val="28"/>
                <w:szCs w:val="28"/>
              </w:rPr>
              <w:t xml:space="preserve">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roofErr w:type="gramEnd"/>
          </w:p>
        </w:tc>
      </w:tr>
      <w:tr w:rsidR="004D5762" w:rsidRPr="002937E4" w14:paraId="0355535C" w14:textId="77777777">
        <w:tc>
          <w:tcPr>
            <w:tcW w:w="3223" w:type="dxa"/>
            <w:tcBorders>
              <w:bottom w:val="single" w:sz="4" w:space="0" w:color="auto"/>
            </w:tcBorders>
            <w:shd w:val="clear" w:color="auto" w:fill="auto"/>
          </w:tcPr>
          <w:p w14:paraId="5CA9732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6848C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77777777" w:rsidR="004D5762" w:rsidRPr="006848CC" w:rsidRDefault="007C2739" w:rsidP="006848CC">
      <w:pPr>
        <w:pStyle w:val="af7"/>
        <w:numPr>
          <w:ilvl w:val="0"/>
          <w:numId w:val="1"/>
        </w:numPr>
        <w:ind w:left="0" w:firstLine="567"/>
        <w:rPr>
          <w:rFonts w:ascii="Times New Roman" w:hAnsi="Times New Roman"/>
          <w:sz w:val="28"/>
          <w:szCs w:val="28"/>
          <w:lang w:eastAsia="ru-RU"/>
        </w:rPr>
      </w:pPr>
      <w:proofErr w:type="gramStart"/>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w:t>
      </w:r>
      <w:proofErr w:type="gramEnd"/>
      <w:r w:rsidR="00CF22F2" w:rsidRPr="006848CC">
        <w:rPr>
          <w:rFonts w:ascii="Times New Roman" w:hAnsi="Times New Roman"/>
          <w:sz w:val="28"/>
          <w:szCs w:val="28"/>
        </w:rPr>
        <w:t xml:space="preserve">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субъекта Российской Федерации.</w:t>
      </w:r>
    </w:p>
    <w:p w14:paraId="7446B220" w14:textId="3ADF01AE" w:rsidR="004D5762"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572C7514" w14:textId="77777777" w:rsidR="004D5762" w:rsidRPr="002937E4" w:rsidRDefault="004D5762">
      <w:pPr>
        <w:ind w:firstLine="851"/>
        <w:rPr>
          <w:rFonts w:ascii="Times New Roman" w:hAnsi="Times New Roman"/>
          <w:sz w:val="28"/>
          <w:szCs w:val="28"/>
        </w:rPr>
      </w:pPr>
    </w:p>
    <w:p w14:paraId="5F94590E" w14:textId="77777777" w:rsidR="004D5762" w:rsidRPr="002937E4" w:rsidRDefault="00CF22F2">
      <w:pPr>
        <w:ind w:firstLine="851"/>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roofErr w:type="gramEnd"/>
      <w:r w:rsidRPr="002937E4">
        <w:rPr>
          <w:rFonts w:ascii="Times New Roman" w:hAnsi="Times New Roman"/>
          <w:sz w:val="28"/>
          <w:szCs w:val="28"/>
        </w:rPr>
        <w:t xml:space="preserve">"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p>
    <w:p w14:paraId="6FA18B6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разделами 2 и 4 справки предусмотрены случаи, при которых к справке в обязательном порядке прилагаются соответствующие документы.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17"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8"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76130492" w14:textId="77777777" w:rsidR="004D5762" w:rsidRPr="002937E4"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w:t>
      </w:r>
      <w:proofErr w:type="gramStart"/>
      <w:r w:rsidRPr="002937E4">
        <w:rPr>
          <w:rFonts w:ascii="Times New Roman" w:hAnsi="Times New Roman"/>
          <w:sz w:val="28"/>
          <w:szCs w:val="28"/>
        </w:rPr>
        <w:t>ст спр</w:t>
      </w:r>
      <w:proofErr w:type="gramEnd"/>
      <w:r w:rsidRPr="002937E4">
        <w:rPr>
          <w:rFonts w:ascii="Times New Roman" w:hAnsi="Times New Roman"/>
          <w:sz w:val="28"/>
          <w:szCs w:val="28"/>
        </w:rPr>
        <w:t>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2937E4">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7777777" w:rsidR="004D5762" w:rsidRPr="006848CC"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На последней странице подпись ставится в специально </w:t>
      </w:r>
      <w:r w:rsidRPr="006848CC">
        <w:rPr>
          <w:rFonts w:ascii="Times New Roman" w:hAnsi="Times New Roman"/>
          <w:sz w:val="28"/>
          <w:szCs w:val="28"/>
        </w:rPr>
        <w:t>отведенном месте.);</w:t>
      </w:r>
      <w:proofErr w:type="gramEnd"/>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7777777" w:rsidR="00041000" w:rsidRPr="006848CC" w:rsidRDefault="00041000" w:rsidP="006D6F6F">
      <w:pPr>
        <w:pStyle w:val="af7"/>
        <w:numPr>
          <w:ilvl w:val="0"/>
          <w:numId w:val="1"/>
        </w:numPr>
        <w:tabs>
          <w:tab w:val="left" w:pos="1134"/>
        </w:tabs>
        <w:ind w:left="0" w:firstLine="567"/>
        <w:rPr>
          <w:rFonts w:ascii="Times New Roman" w:hAnsi="Times New Roman"/>
          <w:sz w:val="28"/>
          <w:szCs w:val="28"/>
        </w:rPr>
      </w:pPr>
      <w:r w:rsidRPr="006848CC">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отчетную дату. </w:t>
      </w:r>
      <w:proofErr w:type="gramStart"/>
      <w:r w:rsidRPr="006848CC">
        <w:rPr>
          <w:rFonts w:ascii="Times New Roman" w:hAnsi="Times New Roman"/>
          <w:sz w:val="28"/>
          <w:szCs w:val="28"/>
        </w:rPr>
        <w:t xml:space="preserve">Сведения об официальных курсах валют на заданную дату, устанавливаемых Банком России, размещены на его официальном сайте: </w:t>
      </w:r>
      <w:hyperlink r:id="rId19"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roofErr w:type="gramEnd"/>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w:t>
      </w:r>
      <w:proofErr w:type="gramStart"/>
      <w:r w:rsidRPr="006848CC">
        <w:rPr>
          <w:rStyle w:val="af5"/>
          <w:rFonts w:ascii="Times New Roman" w:hAnsi="Times New Roman" w:cs="Times New Roman"/>
          <w:color w:val="000000"/>
          <w:sz w:val="28"/>
          <w:szCs w:val="28"/>
        </w:rPr>
        <w:t xml:space="preserve">занимаемой) </w:t>
      </w:r>
      <w:proofErr w:type="gramEnd"/>
      <w:r w:rsidRPr="006848CC">
        <w:rPr>
          <w:rStyle w:val="af5"/>
          <w:rFonts w:ascii="Times New Roman" w:hAnsi="Times New Roman" w:cs="Times New Roman"/>
          <w:color w:val="000000"/>
          <w:sz w:val="28"/>
          <w:szCs w:val="28"/>
        </w:rPr>
        <w:t xml:space="preserve">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w:t>
      </w:r>
      <w:proofErr w:type="gramStart"/>
      <w:r w:rsidRPr="006848CC">
        <w:rPr>
          <w:rStyle w:val="af5"/>
          <w:rFonts w:ascii="Times New Roman" w:hAnsi="Times New Roman" w:cs="Times New Roman"/>
          <w:color w:val="000000"/>
          <w:sz w:val="28"/>
          <w:szCs w:val="28"/>
        </w:rPr>
        <w:t>неработающий</w:t>
      </w:r>
      <w:proofErr w:type="gramEnd"/>
      <w:r w:rsidRPr="006848CC">
        <w:rPr>
          <w:rStyle w:val="af5"/>
          <w:rFonts w:ascii="Times New Roman" w:hAnsi="Times New Roman" w:cs="Times New Roman"/>
          <w:color w:val="000000"/>
          <w:sz w:val="28"/>
          <w:szCs w:val="28"/>
        </w:rPr>
        <w:t>,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5F5EC710" w14:textId="77777777" w:rsidR="004D5762" w:rsidRPr="006848CC" w:rsidRDefault="00CF22F2">
      <w:pPr>
        <w:pStyle w:val="ConsPlusNonformat"/>
        <w:tabs>
          <w:tab w:val="left" w:pos="567"/>
        </w:tabs>
        <w:ind w:firstLine="567"/>
        <w:rPr>
          <w:rFonts w:ascii="Times New Roman" w:hAnsi="Times New Roman" w:cs="Times New Roman"/>
          <w:sz w:val="28"/>
          <w:szCs w:val="28"/>
        </w:rPr>
      </w:pPr>
      <w:proofErr w:type="gramStart"/>
      <w:r w:rsidRPr="006848CC">
        <w:rPr>
          <w:rFonts w:ascii="Times New Roman" w:hAnsi="Times New Roman" w:cs="Times New Roman"/>
          <w:sz w:val="28"/>
          <w:szCs w:val="28"/>
        </w:rPr>
        <w:t>Представление депутатом представительного органа сельского поселения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roofErr w:type="gramEnd"/>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w:t>
      </w:r>
      <w:proofErr w:type="gramStart"/>
      <w:r w:rsidRPr="006848CC">
        <w:rPr>
          <w:rFonts w:ascii="Times New Roman" w:hAnsi="Times New Roman" w:cs="Times New Roman"/>
          <w:sz w:val="28"/>
          <w:szCs w:val="28"/>
        </w:rPr>
        <w:t>временная</w:t>
      </w:r>
      <w:proofErr w:type="gramEnd"/>
      <w:r w:rsidRPr="006848CC">
        <w:rPr>
          <w:rFonts w:ascii="Times New Roman" w:hAnsi="Times New Roman" w:cs="Times New Roman"/>
          <w:sz w:val="28"/>
          <w:szCs w:val="28"/>
        </w:rPr>
        <w:t xml:space="preserve">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proofErr w:type="gramStart"/>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w:t>
      </w:r>
      <w:proofErr w:type="gramEnd"/>
      <w:r w:rsidR="00E4439A" w:rsidRPr="006848CC">
        <w:rPr>
          <w:rFonts w:ascii="Times New Roman" w:eastAsia="Times New Roman" w:hAnsi="Times New Roman"/>
          <w:sz w:val="28"/>
          <w:szCs w:val="28"/>
          <w:lang w:eastAsia="ru-RU"/>
        </w:rPr>
        <w:t xml:space="preserve">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форме 6-НДФЛ, выдаваемой по месту службы (работы) (графа "Общая сумма дохода"). Если по основному месту работы получен доход, который не включен в справку по форме 6-НДФЛ, он подлежит указанию в иных доходах. </w:t>
      </w:r>
    </w:p>
    <w:p w14:paraId="771C87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6-НДФЛ 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14:paraId="63A3B973"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Особенности заполнения данного раздела отдельными категориями лиц</w:t>
      </w:r>
    </w:p>
    <w:p w14:paraId="1B0E4A3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w:t>
      </w:r>
      <w:proofErr w:type="gramStart"/>
      <w:r w:rsidRPr="006848CC">
        <w:rPr>
          <w:rFonts w:ascii="Times New Roman" w:hAnsi="Times New Roman"/>
          <w:sz w:val="28"/>
          <w:szCs w:val="28"/>
        </w:rPr>
        <w:t>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roofErr w:type="gramEnd"/>
    </w:p>
    <w:p w14:paraId="3BA5B7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proofErr w:type="gramStart"/>
      <w:r w:rsidR="008E556F" w:rsidRPr="006848CC">
        <w:rPr>
          <w:rFonts w:ascii="Times New Roman" w:hAnsi="Times New Roman"/>
          <w:sz w:val="28"/>
          <w:szCs w:val="28"/>
        </w:rPr>
        <w:t>определен</w:t>
      </w:r>
      <w:proofErr w:type="gramEnd"/>
      <w:r w:rsidR="008E556F" w:rsidRPr="006848CC">
        <w:rPr>
          <w:rFonts w:ascii="Times New Roman" w:hAnsi="Times New Roman"/>
          <w:sz w:val="28"/>
          <w:szCs w:val="28"/>
        </w:rPr>
        <w:t xml:space="preserve">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данной строке указывается сумма дохода от педагогической деятельности (сумма дохода, содержащаяся в справке по форме 6-НДФЛ,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proofErr w:type="gramEnd"/>
      <w:r w:rsidRPr="006848CC">
        <w:rPr>
          <w:rFonts w:ascii="Times New Roman" w:hAnsi="Times New Roman"/>
          <w:sz w:val="28"/>
          <w:szCs w:val="28"/>
        </w:rPr>
        <w:t>.д.).</w:t>
      </w:r>
    </w:p>
    <w:p w14:paraId="06659573"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roofErr w:type="gramEnd"/>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14:paraId="553EA41F" w14:textId="77777777" w:rsidR="004D5762" w:rsidRPr="006848CC" w:rsidRDefault="00CF22F2">
      <w:pPr>
        <w:pStyle w:val="Default"/>
        <w:numPr>
          <w:ilvl w:val="0"/>
          <w:numId w:val="1"/>
        </w:numPr>
        <w:ind w:left="0" w:firstLine="567"/>
        <w:rPr>
          <w:color w:val="auto"/>
          <w:sz w:val="28"/>
          <w:szCs w:val="28"/>
        </w:rPr>
      </w:pPr>
      <w:r w:rsidRPr="006848C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418AD9F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6A0712E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795C0E"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30BC6527" w14:textId="77777777" w:rsidR="004D5762" w:rsidRPr="006848CC" w:rsidRDefault="00887F4B">
      <w:pPr>
        <w:pStyle w:val="af7"/>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w:t>
      </w:r>
      <w:proofErr w:type="gramEnd"/>
      <w:r w:rsidR="00CF22F2" w:rsidRPr="00401035">
        <w:rPr>
          <w:rFonts w:ascii="Times New Roman" w:hAnsi="Times New Roman"/>
          <w:sz w:val="28"/>
          <w:szCs w:val="28"/>
        </w:rPr>
        <w:t xml:space="preserve">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p>
    <w:p w14:paraId="46815BF7" w14:textId="77777777"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77777777"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48AE47A7" w14:textId="77777777" w:rsidR="004D5762" w:rsidRPr="006848CC" w:rsidRDefault="00CF22F2">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иные доходы могут быть указаны: </w:t>
      </w:r>
    </w:p>
    <w:p w14:paraId="60FFBC8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089F1521" w14:textId="77777777" w:rsidR="004D5762" w:rsidRPr="006848CC" w:rsidRDefault="00CF22F2" w:rsidP="002937E4">
      <w:pPr>
        <w:pStyle w:val="Default"/>
        <w:numPr>
          <w:ilvl w:val="0"/>
          <w:numId w:val="6"/>
        </w:numPr>
        <w:tabs>
          <w:tab w:val="left" w:pos="142"/>
          <w:tab w:val="left" w:pos="1134"/>
        </w:tabs>
        <w:ind w:left="0" w:firstLine="567"/>
        <w:rPr>
          <w:color w:val="auto"/>
          <w:sz w:val="28"/>
          <w:szCs w:val="28"/>
        </w:rPr>
      </w:pPr>
      <w:proofErr w:type="gramStart"/>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справку по форме 6-НДФЛ, выдаваемую по месту службы (работы). </w:t>
      </w:r>
      <w:proofErr w:type="gramEnd"/>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6848CC">
        <w:rPr>
          <w:color w:val="auto"/>
          <w:sz w:val="28"/>
          <w:szCs w:val="28"/>
        </w:rPr>
        <w:t>период</w:t>
      </w:r>
      <w:proofErr w:type="gramEnd"/>
      <w:r w:rsidRPr="006848CC">
        <w:rPr>
          <w:color w:val="auto"/>
          <w:sz w:val="28"/>
          <w:szCs w:val="28"/>
        </w:rPr>
        <w:t xml:space="preserve">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xml:space="preserve">). </w:t>
      </w:r>
      <w:proofErr w:type="gramStart"/>
      <w:r w:rsidRPr="006848CC">
        <w:rPr>
          <w:color w:val="auto"/>
          <w:sz w:val="28"/>
          <w:szCs w:val="28"/>
        </w:rPr>
        <w:t>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roofErr w:type="gramEnd"/>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6585D63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w:t>
      </w:r>
      <w:proofErr w:type="gramStart"/>
      <w:r w:rsidRPr="00401035">
        <w:rPr>
          <w:rStyle w:val="af5"/>
          <w:rFonts w:ascii="Times New Roman" w:hAnsi="Times New Roman" w:cs="Times New Roman"/>
          <w:color w:val="000000"/>
          <w:sz w:val="28"/>
          <w:szCs w:val="28"/>
        </w:rPr>
        <w:t>,</w:t>
      </w:r>
      <w:proofErr w:type="gramEnd"/>
      <w:r w:rsidRPr="00401035">
        <w:rPr>
          <w:rStyle w:val="af5"/>
          <w:rFonts w:ascii="Times New Roman" w:hAnsi="Times New Roman" w:cs="Times New Roman"/>
          <w:color w:val="000000"/>
          <w:sz w:val="28"/>
          <w:szCs w:val="28"/>
        </w:rPr>
        <w:t xml:space="preserve">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w:t>
      </w:r>
      <w:proofErr w:type="gramStart"/>
      <w:r w:rsidRPr="006848CC">
        <w:rPr>
          <w:rFonts w:ascii="Times New Roman" w:hAnsi="Times New Roman"/>
          <w:sz w:val="28"/>
          <w:szCs w:val="28"/>
        </w:rP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Pr="006848CC">
        <w:rPr>
          <w:rFonts w:ascii="Times New Roman" w:hAnsi="Times New Roman"/>
          <w:color w:val="000000"/>
          <w:sz w:val="28"/>
          <w:szCs w:val="28"/>
        </w:rP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6E6DAEF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proofErr w:type="gramStart"/>
      <w:r w:rsidRPr="006848CC">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6D6F6F" w:rsidRPr="006D6F6F">
        <w:rPr>
          <w:rStyle w:val="af5"/>
          <w:rFonts w:ascii="Times New Roman" w:hAnsi="Times New Roman" w:cs="Times New Roman"/>
          <w:color w:val="000000"/>
          <w:sz w:val="28"/>
          <w:szCs w:val="28"/>
        </w:rPr>
        <w:t>39</w:t>
      </w:r>
      <w:r w:rsidR="009449D1"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roofErr w:type="gramEnd"/>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Pr="006848CC">
        <w:rPr>
          <w:rFonts w:ascii="Times New Roman" w:hAnsi="Times New Roman" w:cs="Times New Roman"/>
          <w:sz w:val="28"/>
          <w:szCs w:val="28"/>
        </w:rPr>
        <w:t>Сумма в размере 300 000 руб. является доходом и подлежит указанию в строке "Иные доходы").</w:t>
      </w:r>
      <w:proofErr w:type="gramEnd"/>
    </w:p>
    <w:p w14:paraId="4B11874C"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77777777"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14:paraId="36D563A1" w14:textId="7777777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w:t>
      </w:r>
      <w:proofErr w:type="gramStart"/>
      <w:r w:rsidRPr="006848CC">
        <w:rPr>
          <w:rFonts w:ascii="Times New Roman" w:eastAsia="Times New Roman" w:hAnsi="Times New Roman" w:cs="Times New Roman"/>
          <w:sz w:val="28"/>
          <w:szCs w:val="28"/>
          <w:lang w:eastAsia="ru-RU"/>
        </w:rPr>
        <w:t>дств св</w:t>
      </w:r>
      <w:proofErr w:type="gramEnd"/>
      <w:r w:rsidRPr="006848CC">
        <w:rPr>
          <w:rFonts w:ascii="Times New Roman" w:eastAsia="Times New Roman" w:hAnsi="Times New Roman" w:cs="Times New Roman"/>
          <w:sz w:val="28"/>
          <w:szCs w:val="28"/>
          <w:lang w:eastAsia="ru-RU"/>
        </w:rPr>
        <w:t>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895153E" w:rsidR="004D5762" w:rsidRPr="00401035" w:rsidRDefault="00CF22F2" w:rsidP="002937E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w:t>
      </w:r>
      <w:proofErr w:type="gramStart"/>
      <w:r w:rsidRPr="006848CC">
        <w:rPr>
          <w:rFonts w:ascii="Times New Roman" w:hAnsi="Times New Roman"/>
          <w:sz w:val="28"/>
          <w:szCs w:val="28"/>
        </w:rPr>
        <w:t xml:space="preserve">При этом в отношении договоров страхования, поименованных в </w:t>
      </w:r>
      <w:r w:rsidRPr="006D6F6F">
        <w:rPr>
          <w:rFonts w:ascii="Times New Roman" w:hAnsi="Times New Roman"/>
          <w:sz w:val="28"/>
          <w:szCs w:val="28"/>
        </w:rPr>
        <w:t xml:space="preserve">подпункте 3 пункта </w:t>
      </w:r>
      <w:r w:rsidR="008C1F84" w:rsidRPr="006D6F6F">
        <w:rPr>
          <w:rFonts w:ascii="Times New Roman" w:hAnsi="Times New Roman"/>
          <w:sz w:val="28"/>
          <w:szCs w:val="28"/>
        </w:rPr>
        <w:t>2</w:t>
      </w:r>
      <w:r w:rsidR="006D6F6F">
        <w:rPr>
          <w:rFonts w:ascii="Times New Roman" w:hAnsi="Times New Roman"/>
          <w:sz w:val="28"/>
          <w:szCs w:val="28"/>
        </w:rPr>
        <w:t>05</w:t>
      </w:r>
      <w:r w:rsidRPr="006D6F6F">
        <w:rPr>
          <w:rFonts w:ascii="Times New Roman" w:hAnsi="Times New Roman"/>
          <w:sz w:val="28"/>
          <w:szCs w:val="28"/>
        </w:rPr>
        <w:t xml:space="preserve"> 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roofErr w:type="gramEnd"/>
    </w:p>
    <w:p w14:paraId="4B9CE074" w14:textId="77777777" w:rsidR="004D5762" w:rsidRPr="006848CC" w:rsidRDefault="00CF22F2" w:rsidP="002937E4">
      <w:pPr>
        <w:pStyle w:val="Default"/>
        <w:numPr>
          <w:ilvl w:val="0"/>
          <w:numId w:val="6"/>
        </w:numPr>
        <w:tabs>
          <w:tab w:val="left" w:pos="142"/>
          <w:tab w:val="left" w:pos="1134"/>
          <w:tab w:val="left" w:pos="1560"/>
        </w:tabs>
        <w:ind w:left="0" w:firstLine="567"/>
        <w:rPr>
          <w:color w:val="auto"/>
          <w:sz w:val="28"/>
          <w:szCs w:val="28"/>
        </w:rPr>
      </w:pPr>
      <w:proofErr w:type="gramStart"/>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6-НДФЛ по месту службы (работы) и не отражены в строке "Доход по основному месту работы"; </w:t>
      </w:r>
      <w:proofErr w:type="gramEnd"/>
    </w:p>
    <w:p w14:paraId="5C5BA4AC" w14:textId="77777777" w:rsidR="004D5762" w:rsidRPr="006848CC" w:rsidRDefault="00CF22F2" w:rsidP="002937E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2937E4">
      <w:pPr>
        <w:pStyle w:val="Default"/>
        <w:numPr>
          <w:ilvl w:val="0"/>
          <w:numId w:val="6"/>
        </w:numPr>
        <w:tabs>
          <w:tab w:val="left" w:pos="142"/>
          <w:tab w:val="left" w:pos="1134"/>
        </w:tabs>
        <w:ind w:left="0" w:firstLine="567"/>
        <w:rPr>
          <w:sz w:val="28"/>
          <w:szCs w:val="28"/>
        </w:rPr>
      </w:pPr>
      <w:proofErr w:type="gramStart"/>
      <w:r w:rsidRPr="006848CC">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w:t>
      </w:r>
      <w:proofErr w:type="gramEnd"/>
      <w:r w:rsidRPr="006848CC">
        <w:rPr>
          <w:sz w:val="28"/>
          <w:szCs w:val="28"/>
        </w:rPr>
        <w:t xml:space="preserve">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roofErr w:type="gramEnd"/>
    </w:p>
    <w:p w14:paraId="32A80186" w14:textId="77777777" w:rsidR="004D5762" w:rsidRPr="006848CC"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педагогической и научной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раздела 1 справки, результаты иной творческой деятельности –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иной творческой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указанного раздела справки;</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15682E47"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индивидуальным </w:t>
      </w:r>
      <w:r w:rsidRPr="006D6F6F">
        <w:rPr>
          <w:rFonts w:ascii="Times New Roman" w:hAnsi="Times New Roman"/>
          <w:sz w:val="28"/>
          <w:szCs w:val="28"/>
        </w:rPr>
        <w:t xml:space="preserve">предпринимателем (указывается согласно бухгалтерской (финансовой) отчетности или в соответствии с пунктом </w:t>
      </w:r>
      <w:r w:rsidR="006D6F6F" w:rsidRPr="006D6F6F">
        <w:rPr>
          <w:rFonts w:ascii="Times New Roman" w:hAnsi="Times New Roman"/>
          <w:sz w:val="28"/>
          <w:szCs w:val="28"/>
        </w:rPr>
        <w:t>56</w:t>
      </w:r>
      <w:r w:rsidRPr="006D6F6F">
        <w:rPr>
          <w:rFonts w:ascii="Times New Roman" w:hAnsi="Times New Roman"/>
          <w:sz w:val="28"/>
          <w:szCs w:val="28"/>
        </w:rPr>
        <w:t xml:space="preserve"> настоящих Методических рекомендаций);</w:t>
      </w:r>
    </w:p>
    <w:p w14:paraId="0091DA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6-НДФЛ, полученную по основному месту службы (работы);</w:t>
      </w:r>
      <w:proofErr w:type="gramEnd"/>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63B954C"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8C1F84" w:rsidRPr="006D6F6F">
        <w:rPr>
          <w:rStyle w:val="af5"/>
          <w:rFonts w:ascii="Times New Roman" w:hAnsi="Times New Roman" w:cs="Times New Roman"/>
          <w:color w:val="000000"/>
          <w:sz w:val="28"/>
          <w:szCs w:val="28"/>
        </w:rPr>
        <w:t>3</w:t>
      </w:r>
      <w:r w:rsidR="006D6F6F" w:rsidRPr="006D6F6F">
        <w:rPr>
          <w:rStyle w:val="af5"/>
          <w:rFonts w:ascii="Times New Roman" w:hAnsi="Times New Roman" w:cs="Times New Roman"/>
          <w:color w:val="000000"/>
          <w:sz w:val="28"/>
          <w:szCs w:val="28"/>
        </w:rPr>
        <w:t>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3BF91708" w14:textId="77777777" w:rsidR="004D5762" w:rsidRPr="006848CC" w:rsidRDefault="00CF22F2">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2937E4">
      <w:pPr>
        <w:pStyle w:val="af7"/>
        <w:numPr>
          <w:ilvl w:val="0"/>
          <w:numId w:val="6"/>
        </w:numPr>
        <w:tabs>
          <w:tab w:val="left" w:pos="1276"/>
        </w:tabs>
        <w:ind w:left="567" w:firstLine="0"/>
        <w:rPr>
          <w:rFonts w:ascii="Times New Roman" w:hAnsi="Times New Roman"/>
          <w:sz w:val="28"/>
          <w:szCs w:val="28"/>
        </w:rPr>
      </w:pPr>
      <w:r w:rsidRPr="006848CC">
        <w:rPr>
          <w:rFonts w:ascii="Times New Roman" w:hAnsi="Times New Roman"/>
          <w:sz w:val="28"/>
          <w:szCs w:val="28"/>
        </w:rPr>
        <w:t>иные аналогичные выплаты.</w:t>
      </w:r>
    </w:p>
    <w:p w14:paraId="2AF0182E"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14:paraId="57DC6D8F" w14:textId="77777777" w:rsidR="004D5762" w:rsidRPr="006848CC" w:rsidRDefault="00CF22F2">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3E63E06A" w14:textId="77777777" w:rsidR="004D5762" w:rsidRPr="006848CC" w:rsidRDefault="00CF22F2">
      <w:pPr>
        <w:pStyle w:val="af7"/>
        <w:numPr>
          <w:ilvl w:val="1"/>
          <w:numId w:val="1"/>
        </w:numPr>
        <w:ind w:left="0"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ежемесячная денежная выплата на ребенка в возрасте от 8 до 17 лет в соответствии Указом Президента Российской Федерации от 31 марта 2022 г. № 175;</w:t>
      </w:r>
    </w:p>
    <w:p w14:paraId="18A517B4" w14:textId="77777777" w:rsidR="004D5762" w:rsidRPr="006848CC" w:rsidRDefault="00CF22F2" w:rsidP="002937E4">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ежемесячное пособие женщине, вставшей на учет в медицинской организации в ранние сроки беременности) в соответствии с постановлением Правительства Российской Федерации от 6 июня 2022 г. № 1036.</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CD1A2E4"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 6 "Иные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w:t>
      </w:r>
      <w:proofErr w:type="gramStart"/>
      <w:r w:rsidRPr="006848CC">
        <w:rPr>
          <w:rFonts w:ascii="Times New Roman" w:hAnsi="Times New Roman"/>
          <w:sz w:val="28"/>
          <w:szCs w:val="28"/>
        </w:rPr>
        <w:t>дств вз</w:t>
      </w:r>
      <w:proofErr w:type="gramEnd"/>
      <w:r w:rsidRPr="006848CC">
        <w:rPr>
          <w:rFonts w:ascii="Times New Roman" w:hAnsi="Times New Roman"/>
          <w:sz w:val="28"/>
          <w:szCs w:val="28"/>
        </w:rPr>
        <w:t>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proofErr w:type="gramStart"/>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w:t>
      </w:r>
      <w:proofErr w:type="gramEnd"/>
      <w:r w:rsidRPr="008B315A">
        <w:rPr>
          <w:rFonts w:ascii="Times New Roman" w:hAnsi="Times New Roman"/>
          <w:sz w:val="28"/>
          <w:szCs w:val="28"/>
        </w:rPr>
        <w:t xml:space="preserve"> или при наличии после получения денежных средств обязанности в разумные сроки </w:t>
      </w:r>
      <w:proofErr w:type="gramStart"/>
      <w:r w:rsidRPr="008B315A">
        <w:rPr>
          <w:rFonts w:ascii="Times New Roman" w:hAnsi="Times New Roman"/>
          <w:sz w:val="28"/>
          <w:szCs w:val="28"/>
        </w:rPr>
        <w:t>отчитаться</w:t>
      </w:r>
      <w:proofErr w:type="gramEnd"/>
      <w:r w:rsidRPr="008B315A">
        <w:rPr>
          <w:rFonts w:ascii="Times New Roman" w:hAnsi="Times New Roman"/>
          <w:sz w:val="28"/>
          <w:szCs w:val="28"/>
        </w:rPr>
        <w:t xml:space="preserve">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w:t>
      </w:r>
      <w:proofErr w:type="gramStart"/>
      <w:r w:rsidRPr="006848CC">
        <w:rPr>
          <w:rFonts w:ascii="Times New Roman" w:hAnsi="Times New Roman"/>
          <w:sz w:val="28"/>
          <w:szCs w:val="28"/>
        </w:rPr>
        <w:t>дств пр</w:t>
      </w:r>
      <w:proofErr w:type="gramEnd"/>
      <w:r w:rsidRPr="006848CC">
        <w:rPr>
          <w:rFonts w:ascii="Times New Roman" w:hAnsi="Times New Roman"/>
          <w:sz w:val="28"/>
          <w:szCs w:val="28"/>
        </w:rPr>
        <w:t>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44480E5E"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proofErr w:type="gramStart"/>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w:t>
      </w:r>
      <w:proofErr w:type="gramStart"/>
      <w:r w:rsidRPr="006848CC">
        <w:rPr>
          <w:rFonts w:ascii="Times New Roman" w:hAnsi="Times New Roman"/>
          <w:sz w:val="28"/>
          <w:szCs w:val="28"/>
        </w:rPr>
        <w:t>дств в св</w:t>
      </w:r>
      <w:proofErr w:type="gramEnd"/>
      <w:r w:rsidRPr="006848CC">
        <w:rPr>
          <w:rFonts w:ascii="Times New Roman" w:hAnsi="Times New Roman"/>
          <w:sz w:val="28"/>
          <w:szCs w:val="28"/>
        </w:rPr>
        <w:t>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77777777" w:rsidR="004D5762" w:rsidRPr="006848CC" w:rsidRDefault="00CF22F2">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363602D6"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отражению в разделе 1 справки. Счет в банке, открытый для соответствующих целей, отражается в разделе 4 справки</w:t>
      </w:r>
      <w:r w:rsidR="00E4439A"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146</w:t>
      </w:r>
      <w:r w:rsidR="00E4439A"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pPr>
        <w:tabs>
          <w:tab w:val="left" w:pos="709"/>
        </w:tabs>
        <w:ind w:firstLine="567"/>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превышает общий доход</w:t>
      </w:r>
      <w:proofErr w:type="gramEnd"/>
      <w:r w:rsidRPr="006848CC">
        <w:rPr>
          <w:rFonts w:ascii="Times New Roman" w:hAnsi="Times New Roman"/>
          <w:sz w:val="28"/>
          <w:szCs w:val="28"/>
        </w:rPr>
        <w:t xml:space="preserve">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2023 году сообщаются сведения о расходах по сделкам, совершенным в 2022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w:t>
      </w:r>
      <w:proofErr w:type="gramStart"/>
      <w:r w:rsidRPr="006848CC">
        <w:rPr>
          <w:rFonts w:ascii="Times New Roman" w:hAnsi="Times New Roman"/>
          <w:sz w:val="28"/>
          <w:szCs w:val="28"/>
        </w:rPr>
        <w:t xml:space="preserve">договоре) </w:t>
      </w:r>
      <w:proofErr w:type="gramEnd"/>
      <w:r w:rsidRPr="006848CC">
        <w:rPr>
          <w:rFonts w:ascii="Times New Roman" w:hAnsi="Times New Roman"/>
          <w:sz w:val="28"/>
          <w:szCs w:val="28"/>
        </w:rPr>
        <w:t xml:space="preserve">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14:paraId="259689BF" w14:textId="1426AC12"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6C8CE056"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оснований не является нарушением.</w:t>
      </w:r>
    </w:p>
    <w:p w14:paraId="1105E884"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 xml:space="preserve">общего дохода из него не вычитаются иные расходы, например связанные с отпуском, оплатой </w:t>
      </w:r>
      <w:r w:rsidRPr="006D6F6F">
        <w:rPr>
          <w:rFonts w:ascii="Times New Roman" w:hAnsi="Times New Roman"/>
          <w:sz w:val="28"/>
          <w:szCs w:val="28"/>
        </w:rPr>
        <w:t>жилищно-коммунальных услуг и т.п.</w:t>
      </w:r>
    </w:p>
    <w:p w14:paraId="2AB5D0B1" w14:textId="77D4506E" w:rsidR="004D5762" w:rsidRPr="006848CC" w:rsidRDefault="00CF22F2">
      <w:pPr>
        <w:pStyle w:val="af7"/>
        <w:numPr>
          <w:ilvl w:val="0"/>
          <w:numId w:val="1"/>
        </w:numPr>
        <w:ind w:left="0" w:firstLine="567"/>
        <w:rPr>
          <w:rFonts w:ascii="Times New Roman" w:hAnsi="Times New Roman"/>
          <w:sz w:val="28"/>
          <w:szCs w:val="28"/>
        </w:rPr>
      </w:pPr>
      <w:proofErr w:type="gramStart"/>
      <w:r w:rsidRPr="006D6F6F">
        <w:rPr>
          <w:rFonts w:ascii="Times New Roman" w:hAnsi="Times New Roman"/>
          <w:sz w:val="28"/>
          <w:szCs w:val="28"/>
        </w:rPr>
        <w:t>Для цели реализации пункта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w:t>
      </w:r>
      <w:proofErr w:type="gramEnd"/>
      <w:r w:rsidRPr="00401035">
        <w:rPr>
          <w:rFonts w:ascii="Times New Roman" w:hAnsi="Times New Roman"/>
          <w:sz w:val="28"/>
          <w:szCs w:val="28"/>
        </w:rPr>
        <w:t xml:space="preserve"> </w:t>
      </w:r>
      <w:proofErr w:type="gramStart"/>
      <w:r w:rsidRPr="00401035">
        <w:rPr>
          <w:rFonts w:ascii="Times New Roman" w:hAnsi="Times New Roman"/>
          <w:sz w:val="28"/>
          <w:szCs w:val="28"/>
        </w:rPr>
        <w:t xml:space="preserve">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roofErr w:type="gramEnd"/>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proofErr w:type="gramStart"/>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roofErr w:type="gramEnd"/>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sidRPr="006848CC">
        <w:rPr>
          <w:rFonts w:ascii="Times New Roman" w:hAnsi="Times New Roman"/>
          <w:sz w:val="28"/>
          <w:szCs w:val="28"/>
        </w:rPr>
        <w:t xml:space="preserve">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w:t>
      </w:r>
      <w:proofErr w:type="gramStart"/>
      <w:r w:rsidRPr="006848CC">
        <w:rPr>
          <w:rFonts w:ascii="Times New Roman" w:hAnsi="Times New Roman"/>
          <w:sz w:val="28"/>
          <w:szCs w:val="28"/>
        </w:rPr>
        <w:t>контроле за</w:t>
      </w:r>
      <w:proofErr w:type="gramEnd"/>
      <w:r w:rsidRPr="006848CC">
        <w:rPr>
          <w:rFonts w:ascii="Times New Roman" w:hAnsi="Times New Roman"/>
          <w:sz w:val="28"/>
          <w:szCs w:val="28"/>
        </w:rPr>
        <w:t xml:space="preserve">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При заполнении графы "</w:t>
      </w:r>
      <w:r w:rsidRPr="00401035">
        <w:rPr>
          <w:rFonts w:ascii="Times New Roman" w:hAnsi="Times New Roman"/>
          <w:b/>
          <w:sz w:val="28"/>
          <w:szCs w:val="28"/>
        </w:rPr>
        <w:t>Вид приобретенного имущества</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графы "</w:t>
      </w:r>
      <w:r w:rsidRPr="006848CC">
        <w:rPr>
          <w:rFonts w:ascii="Times New Roman" w:hAnsi="Times New Roman"/>
          <w:b/>
          <w:sz w:val="28"/>
          <w:szCs w:val="28"/>
        </w:rPr>
        <w:t>Источник получения средств, за счет которых приобретено имущество</w:t>
      </w:r>
      <w:r w:rsidRPr="006848CC">
        <w:rPr>
          <w:rFonts w:ascii="Times New Roman" w:hAnsi="Times New Roman"/>
          <w:sz w:val="28"/>
          <w:szCs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w:t>
      </w:r>
      <w:proofErr w:type="gramStart"/>
      <w:r w:rsidRPr="006848CC">
        <w:t>транзакции</w:t>
      </w:r>
      <w:proofErr w:type="gramEnd"/>
      <w:r w:rsidRPr="006848CC">
        <w:t xml:space="preserve">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roofErr w:type="gramEnd"/>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w:t>
      </w:r>
      <w:proofErr w:type="gramStart"/>
      <w:r w:rsidRPr="006848CC">
        <w:rPr>
          <w:rFonts w:ascii="Times New Roman" w:hAnsi="Times New Roman"/>
          <w:sz w:val="28"/>
          <w:szCs w:val="28"/>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63B56037" w14:textId="77777777" w:rsidR="00C621E4" w:rsidRPr="006848CC" w:rsidRDefault="00C621E4">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DE6B2E1"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DEE90A3"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bookmarkStart w:id="0" w:name="_GoBack"/>
      <w:bookmarkEnd w:id="0"/>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w:t>
      </w:r>
      <w:proofErr w:type="gramStart"/>
      <w:r w:rsidRPr="006848CC">
        <w:rPr>
          <w:rFonts w:ascii="Times New Roman" w:hAnsi="Times New Roman"/>
          <w:sz w:val="28"/>
          <w:szCs w:val="28"/>
        </w:rPr>
        <w:t>собственности</w:t>
      </w:r>
      <w:proofErr w:type="gramEnd"/>
      <w:r w:rsidRPr="006848CC">
        <w:rPr>
          <w:rFonts w:ascii="Times New Roman" w:hAnsi="Times New Roman"/>
          <w:sz w:val="28"/>
          <w:szCs w:val="28"/>
        </w:rPr>
        <w:t xml:space="preserve">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77777777"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4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6848CC">
        <w:rPr>
          <w:rFonts w:ascii="Times New Roman" w:hAnsi="Times New Roman"/>
          <w:sz w:val="28"/>
          <w:szCs w:val="28"/>
        </w:rPr>
        <w:t>сведения</w:t>
      </w:r>
      <w:proofErr w:type="gramEnd"/>
      <w:r w:rsidRPr="006848CC">
        <w:rPr>
          <w:rFonts w:ascii="Times New Roman" w:hAnsi="Times New Roman"/>
          <w:sz w:val="28"/>
          <w:szCs w:val="28"/>
        </w:rPr>
        <w:t xml:space="preserve">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w:t>
      </w:r>
      <w:proofErr w:type="gramStart"/>
      <w:r w:rsidRPr="006848CC">
        <w:rPr>
          <w:rFonts w:ascii="Times New Roman" w:hAnsi="Times New Roman"/>
          <w:sz w:val="28"/>
          <w:szCs w:val="28"/>
        </w:rPr>
        <w:t>регистрации</w:t>
      </w:r>
      <w:proofErr w:type="gramEnd"/>
      <w:r w:rsidRPr="006848CC">
        <w:rPr>
          <w:rFonts w:ascii="Times New Roman" w:hAnsi="Times New Roman"/>
          <w:sz w:val="28"/>
          <w:szCs w:val="28"/>
        </w:rPr>
        <w:t xml:space="preserve">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w:t>
      </w:r>
      <w:proofErr w:type="gramEnd"/>
      <w:r w:rsidRPr="006848CC">
        <w:rPr>
          <w:rFonts w:ascii="Times New Roman" w:hAnsi="Times New Roman"/>
          <w:sz w:val="28"/>
          <w:szCs w:val="28"/>
        </w:rPr>
        <w:t xml:space="preserve">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77:02:0014017:1994-72/004/2022-2 от 27 марта 2022 г.; договор купли-продажи от 19 февраля 2022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w:t>
      </w:r>
      <w:proofErr w:type="gramEnd"/>
      <w:r w:rsidRPr="006848CC">
        <w:rPr>
          <w:rFonts w:ascii="Times New Roman" w:hAnsi="Times New Roman"/>
          <w:sz w:val="28"/>
          <w:szCs w:val="28"/>
        </w:rPr>
        <w:t xml:space="preserve">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w:t>
      </w:r>
      <w:proofErr w:type="gramStart"/>
      <w:r w:rsidRPr="006848CC">
        <w:rPr>
          <w:rFonts w:ascii="Times New Roman" w:hAnsi="Times New Roman"/>
          <w:sz w:val="28"/>
          <w:szCs w:val="28"/>
        </w:rPr>
        <w:t>членов Совета директоров Центрального банка Российской Федерации</w:t>
      </w:r>
      <w:proofErr w:type="gramEnd"/>
      <w:r w:rsidRPr="006848CC">
        <w:rPr>
          <w:rFonts w:ascii="Times New Roman" w:hAnsi="Times New Roman"/>
          <w:sz w:val="28"/>
          <w:szCs w:val="28"/>
        </w:rPr>
        <w:t>;</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rsidRPr="006848CC">
        <w:rPr>
          <w:rFonts w:ascii="Times New Roman" w:hAnsi="Times New Roman"/>
          <w:sz w:val="28"/>
          <w:szCs w:val="28"/>
        </w:rPr>
        <w:t xml:space="preserve"> </w:t>
      </w:r>
      <w:proofErr w:type="gramStart"/>
      <w:r w:rsidRPr="006848CC">
        <w:rPr>
          <w:rFonts w:ascii="Times New Roman" w:hAnsi="Times New Roman"/>
          <w:sz w:val="28"/>
          <w:szCs w:val="28"/>
        </w:rPr>
        <w:t>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roofErr w:type="gramEnd"/>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7777777" w:rsidR="004D5762" w:rsidRPr="006848CC" w:rsidRDefault="00CF22F2" w:rsidP="0095434F">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roofErr w:type="gramEnd"/>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77777777" w:rsidR="004D5762" w:rsidRPr="006848CC" w:rsidRDefault="00CF22F2">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roofErr w:type="gramEnd"/>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3"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24"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7 "Иные транспортные средства"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rsidRPr="006848CC">
        <w:rPr>
          <w:rStyle w:val="af5"/>
          <w:rFonts w:ascii="Times New Roman" w:hAnsi="Times New Roman" w:cs="Times New Roman"/>
          <w:sz w:val="28"/>
          <w:szCs w:val="28"/>
          <w:shd w:val="clear" w:color="auto" w:fill="auto"/>
        </w:rPr>
        <w:t>условия</w:t>
      </w:r>
      <w:proofErr w:type="gramEnd"/>
      <w:r w:rsidRPr="006848CC">
        <w:rPr>
          <w:rStyle w:val="af5"/>
          <w:rFonts w:ascii="Times New Roman" w:hAnsi="Times New Roman" w:cs="Times New Roman"/>
          <w:sz w:val="28"/>
          <w:szCs w:val="28"/>
          <w:shd w:val="clear" w:color="auto" w:fill="auto"/>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roofErr w:type="gramEnd"/>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6848CC">
        <w:rPr>
          <w:rStyle w:val="af5"/>
          <w:rFonts w:ascii="Times New Roman" w:hAnsi="Times New Roman" w:cs="Times New Roman"/>
          <w:sz w:val="28"/>
          <w:szCs w:val="28"/>
          <w:shd w:val="clear" w:color="auto" w:fill="auto"/>
        </w:rPr>
        <w:t xml:space="preserve">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5"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0390F59" w14:textId="77777777" w:rsidR="00C621E4" w:rsidRPr="00401035" w:rsidRDefault="00C621E4" w:rsidP="00C621E4">
      <w:pPr>
        <w:pStyle w:val="af7"/>
        <w:widowControl w:val="0"/>
        <w:ind w:left="567" w:firstLine="0"/>
        <w:rPr>
          <w:rStyle w:val="af5"/>
          <w:rFonts w:ascii="Times New Roman" w:hAnsi="Times New Roman" w:cs="Times New Roman"/>
          <w:sz w:val="28"/>
          <w:szCs w:val="28"/>
          <w:shd w:val="clear" w:color="auto" w:fill="auto"/>
        </w:rPr>
      </w:pP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roofErr w:type="gramEnd"/>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77777777"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Уникальное условное обозначение</w:t>
      </w:r>
      <w:r w:rsidRPr="006848CC">
        <w:rPr>
          <w:rStyle w:val="af5"/>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утилитарного цифрового права.</w:t>
      </w:r>
    </w:p>
    <w:p w14:paraId="6F6B84F5" w14:textId="40A95050"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Объем инвестиций (руб.)</w:t>
      </w:r>
      <w:r w:rsidRPr="006848CC">
        <w:rPr>
          <w:rStyle w:val="af5"/>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proofErr w:type="gramStart"/>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w:t>
      </w:r>
      <w:proofErr w:type="gramEnd"/>
      <w:r w:rsidRPr="006848CC">
        <w:rPr>
          <w:rStyle w:val="af5"/>
          <w:rFonts w:ascii="Times New Roman" w:hAnsi="Times New Roman" w:cs="Times New Roman"/>
          <w:sz w:val="28"/>
          <w:szCs w:val="28"/>
          <w:shd w:val="clear" w:color="auto" w:fill="auto"/>
        </w:rPr>
        <w:t xml:space="preserve">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инвестиционной платформы</w:t>
      </w:r>
      <w:r w:rsidRPr="006848CC">
        <w:rPr>
          <w:rStyle w:val="af5"/>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58D9065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6" w:history="1">
        <w:r w:rsidR="00772F94" w:rsidRPr="006848CC">
          <w:rPr>
            <w:rStyle w:val="aff5"/>
            <w:rFonts w:ascii="Times New Roman" w:hAnsi="Times New Roman"/>
            <w:sz w:val="28"/>
            <w:szCs w:val="28"/>
          </w:rPr>
          <w:t>http://www.cbr.ru/vfs/registers/infr/list_invest_platform_op.xlsx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proofErr w:type="gramStart"/>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6848CC">
        <w:rPr>
          <w:rStyle w:val="af5"/>
          <w:rFonts w:ascii="Times New Roman" w:hAnsi="Times New Roman" w:cs="Times New Roman"/>
          <w:sz w:val="28"/>
          <w:szCs w:val="28"/>
          <w:shd w:val="clear" w:color="auto" w:fill="auto"/>
        </w:rPr>
        <w:t xml:space="preserve">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цифровой валюты</w:t>
      </w:r>
      <w:r w:rsidRPr="006848CC">
        <w:rPr>
          <w:rStyle w:val="af5"/>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цифровой валюты.</w:t>
      </w:r>
    </w:p>
    <w:p w14:paraId="2374F14D"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92CDFFF" w14:textId="77777777" w:rsidR="004D5762" w:rsidRDefault="004D5762">
      <w:pPr>
        <w:pStyle w:val="af7"/>
        <w:ind w:left="0" w:firstLine="851"/>
        <w:rPr>
          <w:rFonts w:ascii="Times New Roman" w:hAnsi="Times New Roman"/>
          <w:sz w:val="28"/>
          <w:szCs w:val="28"/>
        </w:rPr>
      </w:pPr>
    </w:p>
    <w:p w14:paraId="3A7AF2E4" w14:textId="77777777" w:rsidR="006D6F6F" w:rsidRDefault="006D6F6F">
      <w:pPr>
        <w:pStyle w:val="af7"/>
        <w:ind w:left="0" w:firstLine="851"/>
        <w:rPr>
          <w:rFonts w:ascii="Times New Roman" w:hAnsi="Times New Roman"/>
          <w:sz w:val="28"/>
          <w:szCs w:val="28"/>
        </w:rPr>
      </w:pPr>
    </w:p>
    <w:p w14:paraId="19C4E8E6" w14:textId="77777777" w:rsidR="006D6F6F" w:rsidRDefault="006D6F6F">
      <w:pPr>
        <w:pStyle w:val="af7"/>
        <w:ind w:left="0" w:firstLine="851"/>
        <w:rPr>
          <w:rFonts w:ascii="Times New Roman" w:hAnsi="Times New Roman"/>
          <w:sz w:val="28"/>
          <w:szCs w:val="28"/>
        </w:rPr>
      </w:pPr>
    </w:p>
    <w:p w14:paraId="322791C1" w14:textId="77777777" w:rsidR="006D6F6F" w:rsidRPr="006848CC" w:rsidRDefault="006D6F6F">
      <w:pPr>
        <w:pStyle w:val="af7"/>
        <w:ind w:left="0" w:firstLine="851"/>
        <w:rPr>
          <w:rFonts w:ascii="Times New Roman" w:hAnsi="Times New Roman"/>
          <w:sz w:val="28"/>
          <w:szCs w:val="28"/>
        </w:rPr>
      </w:pPr>
    </w:p>
    <w:p w14:paraId="299A2AB5"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4. СВЕДЕНИЯ О СЧЕТАХ В БАНКАХ 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95E0BD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roofErr w:type="gramEnd"/>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A8FE3C8"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6</w:t>
      </w:r>
      <w:r w:rsidR="00CF22F2" w:rsidRPr="006848CC">
        <w:rPr>
          <w:rFonts w:ascii="Times New Roman" w:hAnsi="Times New Roman"/>
          <w:sz w:val="28"/>
          <w:szCs w:val="28"/>
        </w:rPr>
        <w:t>) счета, открытые гражданам, зарегистрированным в качестве индивидуальных предпринимателей.</w:t>
      </w:r>
      <w:r w:rsidR="00CF22F2" w:rsidRPr="006848C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00CF22F2" w:rsidRPr="006848CC">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5C0A7D4B" w14:textId="0A475DD6"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CF22F2" w:rsidRPr="006848CC">
        <w:rPr>
          <w:rFonts w:ascii="Times New Roman" w:hAnsi="Times New Roman"/>
          <w:sz w:val="28"/>
          <w:szCs w:val="28"/>
        </w:rPr>
        <w:t>.</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E785D53"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6D6F6F" w:rsidRPr="006D6F6F">
        <w:rPr>
          <w:rFonts w:ascii="Times New Roman" w:hAnsi="Times New Roman"/>
          <w:sz w:val="28"/>
          <w:szCs w:val="28"/>
        </w:rPr>
        <w:t>205</w:t>
      </w:r>
      <w:r w:rsidRPr="006D6F6F">
        <w:rPr>
          <w:rFonts w:ascii="Times New Roman" w:hAnsi="Times New Roman"/>
          <w:sz w:val="28"/>
          <w:szCs w:val="28"/>
        </w:rPr>
        <w:t xml:space="preserve"> 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6848CC">
        <w:rPr>
          <w:rFonts w:ascii="Times New Roman" w:hAnsi="Times New Roman"/>
          <w:sz w:val="28"/>
          <w:szCs w:val="28"/>
        </w:rPr>
        <w:t>дств сл</w:t>
      </w:r>
      <w:proofErr w:type="gramEnd"/>
      <w:r w:rsidRPr="006848CC">
        <w:rPr>
          <w:rFonts w:ascii="Times New Roman" w:hAnsi="Times New Roman"/>
          <w:sz w:val="28"/>
          <w:szCs w:val="28"/>
        </w:rPr>
        <w:t xml:space="preserve">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6848CC" w:rsidRDefault="00CF22F2">
      <w:pPr>
        <w:pStyle w:val="af7"/>
        <w:ind w:left="0" w:firstLine="567"/>
        <w:rPr>
          <w:rFonts w:ascii="Times New Roman" w:hAnsi="Times New Roman"/>
          <w:sz w:val="28"/>
          <w:szCs w:val="28"/>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79888F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27746E26"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6D6F6F" w:rsidRPr="006D6F6F">
        <w:rPr>
          <w:rFonts w:ascii="Times New Roman" w:hAnsi="Times New Roman"/>
          <w:sz w:val="28"/>
          <w:szCs w:val="28"/>
        </w:rPr>
        <w:t>147</w:t>
      </w:r>
      <w:r w:rsidRPr="006D6F6F">
        <w:rPr>
          <w:rFonts w:ascii="Times New Roman" w:hAnsi="Times New Roman"/>
          <w:sz w:val="28"/>
          <w:szCs w:val="28"/>
        </w:rPr>
        <w:t xml:space="preserve"> и </w:t>
      </w:r>
      <w:r w:rsidR="008C1F84" w:rsidRPr="006D6F6F">
        <w:rPr>
          <w:rFonts w:ascii="Times New Roman" w:hAnsi="Times New Roman"/>
          <w:sz w:val="28"/>
          <w:szCs w:val="28"/>
        </w:rPr>
        <w:t>14</w:t>
      </w:r>
      <w:r w:rsidR="006D6F6F" w:rsidRPr="006D6F6F">
        <w:rPr>
          <w:rFonts w:ascii="Times New Roman" w:hAnsi="Times New Roman"/>
          <w:sz w:val="28"/>
          <w:szCs w:val="28"/>
        </w:rPr>
        <w:t>8</w:t>
      </w:r>
      <w:r w:rsidRPr="006D6F6F">
        <w:rPr>
          <w:rFonts w:ascii="Times New Roman" w:hAnsi="Times New Roman"/>
          <w:sz w:val="28"/>
          <w:szCs w:val="28"/>
        </w:rPr>
        <w:t xml:space="preserve"> 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"Дата открытия счета"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"Остаток на счете"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p>
    <w:p w14:paraId="77CC6E16" w14:textId="31D137E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6848CC" w:rsidRDefault="00CF22F2">
      <w:pPr>
        <w:pStyle w:val="af7"/>
        <w:ind w:left="0" w:firstLine="567"/>
        <w:rPr>
          <w:rFonts w:ascii="Times New Roman" w:hAnsi="Times New Roman"/>
          <w:sz w:val="28"/>
          <w:szCs w:val="28"/>
        </w:rPr>
      </w:pPr>
      <w:proofErr w:type="gramStart"/>
      <w:r w:rsidRPr="00401035">
        <w:rPr>
          <w:rFonts w:ascii="Times New Roman" w:hAnsi="Times New Roman"/>
          <w:sz w:val="28"/>
          <w:szCs w:val="28"/>
        </w:rPr>
        <w:t>По счету в драгоценных металлах указывается стоимость драгоценного металла на от</w:t>
      </w:r>
      <w:r w:rsidRPr="006848CC">
        <w:rPr>
          <w:rFonts w:ascii="Times New Roman" w:hAnsi="Times New Roman"/>
          <w:sz w:val="28"/>
          <w:szCs w:val="28"/>
        </w:rPr>
        <w:t>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roofErr w:type="gramEnd"/>
    </w:p>
    <w:p w14:paraId="66E40DCF" w14:textId="414DD62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"Сумма поступивших на счет денежных средств" до 1 июля 2023 года заполняется </w:t>
      </w:r>
      <w:r w:rsidRPr="006848CC">
        <w:rPr>
          <w:rFonts w:ascii="Times New Roman" w:hAnsi="Times New Roman"/>
          <w:b/>
          <w:sz w:val="28"/>
          <w:szCs w:val="28"/>
        </w:rPr>
        <w:t>только</w:t>
      </w:r>
      <w:r w:rsidRPr="006848CC">
        <w:rPr>
          <w:rFonts w:ascii="Times New Roman" w:hAnsi="Times New Roman"/>
          <w:sz w:val="28"/>
          <w:szCs w:val="28"/>
        </w:rPr>
        <w:t xml:space="preserve">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справке прилагается выписка о движении денежных средств по данному счету за отчетный период. </w:t>
      </w:r>
    </w:p>
    <w:p w14:paraId="55F29C3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По счету в драгоценных металлах данная графа не заполняется.</w:t>
      </w:r>
    </w:p>
    <w:p w14:paraId="5760821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w:t>
      </w:r>
      <w:proofErr w:type="gramStart"/>
      <w:r w:rsidRPr="006848CC">
        <w:rPr>
          <w:rFonts w:ascii="Times New Roman" w:hAnsi="Times New Roman"/>
          <w:sz w:val="28"/>
          <w:szCs w:val="28"/>
        </w:rPr>
        <w:t>" [</w:t>
      </w:r>
      <w:r w:rsidRPr="006848CC">
        <w:rPr>
          <w:rFonts w:ascii="MS Mincho" w:eastAsia="MS Mincho" w:hAnsi="MS Mincho" w:cs="MS Mincho"/>
          <w:sz w:val="28"/>
          <w:szCs w:val="28"/>
        </w:rPr>
        <w:t>✓</w:t>
      </w:r>
      <w:r w:rsidRPr="006848CC">
        <w:rPr>
          <w:rFonts w:ascii="Times New Roman" w:hAnsi="Times New Roman"/>
          <w:sz w:val="28"/>
          <w:szCs w:val="28"/>
        </w:rPr>
        <w:t xml:space="preserve">] </w:t>
      </w:r>
      <w:proofErr w:type="gramEnd"/>
      <w:r w:rsidRPr="006848CC">
        <w:rPr>
          <w:rFonts w:ascii="Times New Roman" w:hAnsi="Times New Roman"/>
          <w:sz w:val="28"/>
          <w:szCs w:val="28"/>
        </w:rPr>
        <w:t xml:space="preserve">напротив соответствующей позиции. В противном случае необходимо заполнить соответствующие графы. </w:t>
      </w:r>
    </w:p>
    <w:p w14:paraId="2C6A789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0BA18F2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 1 июля 2023 года указываются суммы денежных средств, поступивших на счета за отчетный период, в случае если общая сумма таких денежных сре</w:t>
      </w:r>
      <w:proofErr w:type="gramStart"/>
      <w:r w:rsidRPr="006848CC">
        <w:rPr>
          <w:rFonts w:ascii="Times New Roman" w:hAnsi="Times New Roman"/>
          <w:sz w:val="28"/>
          <w:szCs w:val="28"/>
        </w:rPr>
        <w:t>дств пр</w:t>
      </w:r>
      <w:proofErr w:type="gramEnd"/>
      <w:r w:rsidRPr="006848CC">
        <w:rPr>
          <w:rFonts w:ascii="Times New Roman" w:hAnsi="Times New Roman"/>
          <w:sz w:val="28"/>
          <w:szCs w:val="28"/>
        </w:rPr>
        <w:t>евышает общий доход служащего (работника),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p>
    <w:p w14:paraId="4FFD91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4DC4B106" w14:textId="77777777"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w:t>
      </w:r>
      <w:r w:rsidRPr="006D6F6F">
        <w:rPr>
          <w:rFonts w:ascii="Times New Roman" w:hAnsi="Times New Roman"/>
          <w:sz w:val="28"/>
          <w:szCs w:val="28"/>
        </w:rPr>
        <w:t>доходами в предыдущие годы.</w:t>
      </w:r>
    </w:p>
    <w:p w14:paraId="0DC809E0" w14:textId="08B10BCD"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Для счетов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w:t>
      </w:r>
      <w:r w:rsidR="00D813DB" w:rsidRPr="006848CC">
        <w:rPr>
          <w:rFonts w:ascii="Times New Roman" w:eastAsia="Times New Roman" w:hAnsi="Times New Roman"/>
          <w:sz w:val="28"/>
          <w:szCs w:val="28"/>
          <w:lang w:eastAsia="ru-RU"/>
        </w:rPr>
        <w:t xml:space="preserve"> Методических рекомендаций)</w:t>
      </w:r>
      <w:r w:rsidRPr="006848CC">
        <w:rPr>
          <w:rFonts w:ascii="Times New Roman" w:hAnsi="Times New Roman"/>
          <w:sz w:val="28"/>
          <w:szCs w:val="28"/>
        </w:rPr>
        <w:t>.</w:t>
      </w:r>
    </w:p>
    <w:p w14:paraId="4E2F8FEB" w14:textId="77777777" w:rsidR="004D5762" w:rsidRPr="00401035" w:rsidRDefault="00CF22F2">
      <w:pPr>
        <w:pStyle w:val="af7"/>
        <w:ind w:left="0" w:firstLine="567"/>
        <w:rPr>
          <w:rFonts w:ascii="Times New Roman" w:hAnsi="Times New Roman"/>
          <w:b/>
          <w:sz w:val="28"/>
          <w:szCs w:val="28"/>
        </w:rPr>
      </w:pPr>
      <w:r w:rsidRPr="00401035">
        <w:rPr>
          <w:rFonts w:ascii="Times New Roman" w:hAnsi="Times New Roman"/>
          <w:b/>
          <w:sz w:val="28"/>
          <w:szCs w:val="28"/>
        </w:rPr>
        <w:t>Совместный счет</w:t>
      </w:r>
    </w:p>
    <w:p w14:paraId="11B11765"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14:paraId="51DB3C2E"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p>
    <w:p w14:paraId="1D21D740"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5):</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rsidRPr="006848CC">
              <w:rPr>
                <w:rFonts w:ascii="Times New Roman" w:hAnsi="Times New Roman"/>
                <w:sz w:val="28"/>
                <w:szCs w:val="28"/>
              </w:rPr>
              <w:t>дств кл</w:t>
            </w:r>
            <w:proofErr w:type="gramEnd"/>
            <w:r w:rsidRPr="006848CC">
              <w:rPr>
                <w:rFonts w:ascii="Times New Roman" w:hAnsi="Times New Roman"/>
                <w:sz w:val="28"/>
                <w:szCs w:val="28"/>
              </w:rP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0ADCE135" w14:textId="0B7A7497" w:rsidR="004D5762"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 xml:space="preserve">Кроме того, необходимо обращать внимание,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w:t>
      </w:r>
      <w:proofErr w:type="gramStart"/>
      <w:r w:rsidRPr="006848CC">
        <w:rPr>
          <w:rFonts w:ascii="Times New Roman" w:hAnsi="Times New Roman"/>
          <w:sz w:val="28"/>
          <w:szCs w:val="28"/>
        </w:rPr>
        <w:t>ств вл</w:t>
      </w:r>
      <w:proofErr w:type="gramEnd"/>
      <w:r w:rsidRPr="006848CC">
        <w:rPr>
          <w:rFonts w:ascii="Times New Roman" w:hAnsi="Times New Roman"/>
          <w:sz w:val="28"/>
          <w:szCs w:val="28"/>
        </w:rPr>
        <w:t>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0B356581" w14:textId="59B9F754"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 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траховых взносах на накопительную часть трудовой пенсии и государственной поддержке формирования пенсионных накоплений", а</w:t>
      </w:r>
      <w:proofErr w:type="gramEnd"/>
      <w:r w:rsidRPr="006848CC">
        <w:rPr>
          <w:rFonts w:ascii="Times New Roman" w:hAnsi="Times New Roman"/>
          <w:sz w:val="28"/>
          <w:szCs w:val="28"/>
        </w:rPr>
        <w:t xml:space="preserve"> также сведения о денежных средствах, распоряжение которыми осуществляется с использованием электронных сре</w:t>
      </w:r>
      <w:proofErr w:type="gramStart"/>
      <w:r w:rsidRPr="006848CC">
        <w:rPr>
          <w:rFonts w:ascii="Times New Roman" w:hAnsi="Times New Roman"/>
          <w:sz w:val="28"/>
          <w:szCs w:val="28"/>
        </w:rPr>
        <w:t>дств пл</w:t>
      </w:r>
      <w:proofErr w:type="gramEnd"/>
      <w:r w:rsidRPr="006848CC">
        <w:rPr>
          <w:rFonts w:ascii="Times New Roman" w:hAnsi="Times New Roman"/>
          <w:sz w:val="28"/>
          <w:szCs w:val="28"/>
        </w:rPr>
        <w:t>атежа, в том числе с использованием электронных средств платежа ("электронных кошельков") (например "</w:t>
      </w:r>
      <w:proofErr w:type="spellStart"/>
      <w:r w:rsidRPr="006848CC">
        <w:rPr>
          <w:rFonts w:ascii="Times New Roman" w:hAnsi="Times New Roman"/>
          <w:sz w:val="28"/>
          <w:szCs w:val="28"/>
        </w:rPr>
        <w:t>ЮMoney</w:t>
      </w:r>
      <w:proofErr w:type="spellEnd"/>
      <w:r w:rsidRPr="006848CC">
        <w:rPr>
          <w:rFonts w:ascii="Times New Roman" w:hAnsi="Times New Roman"/>
          <w:sz w:val="28"/>
          <w:szCs w:val="28"/>
        </w:rPr>
        <w:t>", "</w:t>
      </w:r>
      <w:proofErr w:type="spellStart"/>
      <w:r w:rsidRPr="006848CC">
        <w:rPr>
          <w:rFonts w:ascii="Times New Roman" w:hAnsi="Times New Roman"/>
          <w:sz w:val="28"/>
          <w:szCs w:val="28"/>
          <w:lang w:val="en-US"/>
        </w:rPr>
        <w:t>Qiwi</w:t>
      </w:r>
      <w:proofErr w:type="spellEnd"/>
      <w:r w:rsidRPr="006848CC">
        <w:rPr>
          <w:rFonts w:ascii="Times New Roman" w:hAnsi="Times New Roman"/>
          <w:sz w:val="28"/>
          <w:szCs w:val="28"/>
        </w:rPr>
        <w:t xml:space="preserve"> кошелек" и др.).</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w:t>
      </w:r>
      <w:proofErr w:type="gramStart"/>
      <w:r w:rsidRPr="006848CC">
        <w:rPr>
          <w:rFonts w:ascii="Times New Roman" w:hAnsi="Times New Roman"/>
          <w:sz w:val="28"/>
          <w:szCs w:val="28"/>
        </w:rPr>
        <w:t>дств с т</w:t>
      </w:r>
      <w:proofErr w:type="gramEnd"/>
      <w:r w:rsidRPr="006848CC">
        <w:rPr>
          <w:rFonts w:ascii="Times New Roman" w:hAnsi="Times New Roman"/>
          <w:sz w:val="28"/>
          <w:szCs w:val="28"/>
        </w:rPr>
        <w:t>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9"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Pr="006848CC" w:rsidRDefault="004D5762">
      <w:pPr>
        <w:ind w:firstLine="851"/>
        <w:jc w:val="center"/>
        <w:rPr>
          <w:rFonts w:ascii="Times New Roman" w:hAnsi="Times New Roman"/>
          <w:sz w:val="28"/>
          <w:szCs w:val="28"/>
        </w:rPr>
      </w:pPr>
    </w:p>
    <w:p w14:paraId="38098374"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5 "Доход от ценных бумаг и долей участия в коммерческих организациях").</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Федеральным законом от 22 апреля 1996 г. </w:t>
      </w:r>
      <w:r w:rsidRPr="006848CC">
        <w:rPr>
          <w:rFonts w:ascii="Times New Roman" w:hAnsi="Times New Roman"/>
          <w:sz w:val="28"/>
          <w:szCs w:val="28"/>
        </w:rPr>
        <w:b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6848CC">
        <w:rPr>
          <w:rFonts w:ascii="Times New Roman" w:hAnsi="Times New Roman"/>
          <w:sz w:val="28"/>
          <w:szCs w:val="28"/>
        </w:rPr>
        <w:t>" указываются полное или сокращенное официальное наименование организац</w:t>
      </w:r>
      <w:proofErr w:type="gramStart"/>
      <w:r w:rsidRPr="006848CC">
        <w:rPr>
          <w:rFonts w:ascii="Times New Roman" w:hAnsi="Times New Roman"/>
          <w:sz w:val="28"/>
          <w:szCs w:val="28"/>
        </w:rPr>
        <w:t>ии и ее</w:t>
      </w:r>
      <w:proofErr w:type="gramEnd"/>
      <w:r w:rsidRPr="006848CC">
        <w:rPr>
          <w:rFonts w:ascii="Times New Roman" w:hAnsi="Times New Roman"/>
          <w:sz w:val="28"/>
          <w:szCs w:val="28"/>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43F3D599"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графе "</w:t>
      </w:r>
      <w:r w:rsidRPr="006D6F6F">
        <w:rPr>
          <w:rFonts w:ascii="Times New Roman" w:hAnsi="Times New Roman"/>
          <w:b/>
          <w:sz w:val="28"/>
          <w:szCs w:val="28"/>
        </w:rPr>
        <w:t>Местонахождени</w:t>
      </w:r>
      <w:r w:rsidR="008621DE" w:rsidRPr="006D6F6F">
        <w:rPr>
          <w:rFonts w:ascii="Times New Roman" w:hAnsi="Times New Roman"/>
          <w:b/>
          <w:sz w:val="28"/>
          <w:szCs w:val="28"/>
        </w:rPr>
        <w:t>е организации (адрес)</w:t>
      </w:r>
      <w:r w:rsidRPr="006D6F6F">
        <w:rPr>
          <w:rFonts w:ascii="Times New Roman" w:hAnsi="Times New Roman"/>
          <w:sz w:val="28"/>
          <w:szCs w:val="28"/>
        </w:rPr>
        <w:t>" указывается место нахождения эмитента акций</w:t>
      </w:r>
      <w:r w:rsidRPr="006848CC">
        <w:rPr>
          <w:rFonts w:ascii="Times New Roman" w:hAnsi="Times New Roman"/>
          <w:sz w:val="28"/>
          <w:szCs w:val="28"/>
        </w:rPr>
        <w:t xml:space="preserve">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7B592178" w14:textId="29D713FE"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599049F5"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графе "</w:t>
      </w:r>
      <w:r w:rsidRPr="006848CC">
        <w:rPr>
          <w:rFonts w:ascii="Times New Roman" w:hAnsi="Times New Roman"/>
          <w:b/>
          <w:sz w:val="28"/>
          <w:szCs w:val="28"/>
        </w:rPr>
        <w:t>Основание участия</w:t>
      </w:r>
      <w:r w:rsidRPr="006848CC">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6848CC">
        <w:rPr>
          <w:rFonts w:ascii="Times New Roman" w:hAnsi="Times New Roman"/>
          <w:sz w:val="28"/>
          <w:szCs w:val="28"/>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6848CC">
        <w:rPr>
          <w:rFonts w:ascii="Times New Roman" w:hAnsi="Times New Roman"/>
          <w:b/>
          <w:sz w:val="28"/>
          <w:szCs w:val="28"/>
        </w:rPr>
        <w:t>Основание участия</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14:paraId="205D5D0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Номинальная величина обязательства</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Общая стоимость</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322DB5DF"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proofErr w:type="gramStart"/>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6848CC">
        <w:rPr>
          <w:rFonts w:ascii="Times New Roman" w:hAnsi="Times New Roman"/>
          <w:sz w:val="28"/>
          <w:szCs w:val="28"/>
        </w:rPr>
        <w:t>, владеть и (или) пользоваться иностранными финансовыми инструментами" (в случае распространения на него указанного запрета).</w:t>
      </w:r>
    </w:p>
    <w:p w14:paraId="1A3C81A6" w14:textId="2684167F" w:rsidR="00632D06" w:rsidRPr="006848CC"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0"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1E46714F" w14:textId="77777777" w:rsidR="004D5762" w:rsidRDefault="004D5762">
      <w:pPr>
        <w:pStyle w:val="af7"/>
        <w:ind w:left="0"/>
        <w:rPr>
          <w:rFonts w:ascii="Times New Roman" w:hAnsi="Times New Roman"/>
          <w:sz w:val="28"/>
          <w:szCs w:val="28"/>
        </w:rPr>
      </w:pPr>
    </w:p>
    <w:p w14:paraId="1EA6F36C" w14:textId="77777777" w:rsidR="006D6F6F" w:rsidRDefault="006D6F6F">
      <w:pPr>
        <w:pStyle w:val="af7"/>
        <w:ind w:left="0"/>
        <w:rPr>
          <w:rFonts w:ascii="Times New Roman" w:hAnsi="Times New Roman"/>
          <w:sz w:val="28"/>
          <w:szCs w:val="28"/>
        </w:rPr>
      </w:pPr>
    </w:p>
    <w:p w14:paraId="05D52DAF" w14:textId="77777777" w:rsidR="006D6F6F" w:rsidRDefault="006D6F6F">
      <w:pPr>
        <w:pStyle w:val="af7"/>
        <w:ind w:left="0"/>
        <w:rPr>
          <w:rFonts w:ascii="Times New Roman" w:hAnsi="Times New Roman"/>
          <w:sz w:val="28"/>
          <w:szCs w:val="28"/>
        </w:rPr>
      </w:pPr>
    </w:p>
    <w:p w14:paraId="5E4655EF" w14:textId="77777777" w:rsidR="006D6F6F" w:rsidRPr="006848CC" w:rsidRDefault="006D6F6F">
      <w:pPr>
        <w:pStyle w:val="af7"/>
        <w:ind w:left="0"/>
        <w:rPr>
          <w:rFonts w:ascii="Times New Roman" w:hAnsi="Times New Roman"/>
          <w:sz w:val="28"/>
          <w:szCs w:val="28"/>
        </w:rPr>
      </w:pPr>
    </w:p>
    <w:p w14:paraId="0F75996D"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6. СВЕДЕНИЯ ОБ ОБЯЗАТЕЛЬСТВАХ 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roofErr w:type="gramEnd"/>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w:t>
      </w:r>
      <w:proofErr w:type="gramStart"/>
      <w:r w:rsidRPr="006848CC">
        <w:rPr>
          <w:rFonts w:ascii="Times New Roman" w:hAnsi="Times New Roman"/>
          <w:sz w:val="28"/>
          <w:szCs w:val="28"/>
        </w:rPr>
        <w:t>принадлежащих</w:t>
      </w:r>
      <w:proofErr w:type="gramEnd"/>
      <w:r w:rsidRPr="006848CC">
        <w:rPr>
          <w:rFonts w:ascii="Times New Roman" w:hAnsi="Times New Roman"/>
          <w:sz w:val="28"/>
          <w:szCs w:val="28"/>
        </w:rPr>
        <w:t xml:space="preserve">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7) переданных </w:t>
      </w:r>
      <w:proofErr w:type="gramStart"/>
      <w:r w:rsidRPr="006848CC">
        <w:rPr>
          <w:rFonts w:ascii="Times New Roman" w:hAnsi="Times New Roman"/>
          <w:sz w:val="28"/>
          <w:szCs w:val="28"/>
        </w:rPr>
        <w:t>объектах</w:t>
      </w:r>
      <w:proofErr w:type="gramEnd"/>
      <w:r w:rsidRPr="006848CC">
        <w:rPr>
          <w:rFonts w:ascii="Times New Roman" w:hAnsi="Times New Roman"/>
          <w:sz w:val="28"/>
          <w:szCs w:val="28"/>
        </w:rPr>
        <w:t xml:space="preserve">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В графе "</w:t>
      </w:r>
      <w:r w:rsidRPr="006848CC">
        <w:rPr>
          <w:rFonts w:ascii="Times New Roman" w:hAnsi="Times New Roman"/>
          <w:b/>
          <w:sz w:val="28"/>
          <w:szCs w:val="28"/>
        </w:rPr>
        <w:t>Вид и сроки пользования</w:t>
      </w:r>
      <w:r w:rsidRPr="006848CC">
        <w:rPr>
          <w:rFonts w:ascii="Times New Roman" w:hAnsi="Times New Roman"/>
          <w:sz w:val="28"/>
          <w:szCs w:val="28"/>
        </w:rPr>
        <w:t>"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В графе "</w:t>
      </w:r>
      <w:r w:rsidRPr="006848CC">
        <w:rPr>
          <w:rFonts w:ascii="Times New Roman" w:hAnsi="Times New Roman"/>
          <w:b/>
          <w:sz w:val="28"/>
          <w:szCs w:val="28"/>
        </w:rPr>
        <w:t>Основание пользования</w:t>
      </w:r>
      <w:r w:rsidRPr="006848CC">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Pr="006848CC">
        <w:rPr>
          <w:rFonts w:ascii="Times New Roman" w:hAnsi="Times New Roman"/>
          <w:sz w:val="28"/>
          <w:szCs w:val="28"/>
        </w:rPr>
        <w:t>гаражно-строительного</w:t>
      </w:r>
      <w:proofErr w:type="gramEnd"/>
      <w:r w:rsidRPr="006848CC">
        <w:rPr>
          <w:rFonts w:ascii="Times New Roman" w:hAnsi="Times New Roman"/>
          <w:sz w:val="28"/>
          <w:szCs w:val="28"/>
        </w:rPr>
        <w:t xml:space="preserve">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w:t>
      </w:r>
      <w:proofErr w:type="gramStart"/>
      <w:r w:rsidRPr="006848CC">
        <w:rPr>
          <w:rFonts w:ascii="Times New Roman" w:hAnsi="Times New Roman"/>
        </w:rPr>
        <w:t>,</w:t>
      </w:r>
      <w:proofErr w:type="gramEnd"/>
      <w:r w:rsidRPr="006848CC">
        <w:rPr>
          <w:rFonts w:ascii="Times New Roman" w:hAnsi="Times New Roman"/>
        </w:rP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Графа "</w:t>
      </w:r>
      <w:r w:rsidRPr="006848CC">
        <w:rPr>
          <w:rFonts w:ascii="Times New Roman" w:hAnsi="Times New Roman"/>
          <w:b/>
          <w:sz w:val="28"/>
          <w:szCs w:val="28"/>
        </w:rPr>
        <w:t>Площадь (кв. м)</w:t>
      </w:r>
      <w:r w:rsidRPr="006848CC">
        <w:rPr>
          <w:rFonts w:ascii="Times New Roman" w:hAnsi="Times New Roman"/>
          <w:sz w:val="28"/>
          <w:szCs w:val="28"/>
        </w:rPr>
        <w:t>"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pPr>
        <w:pStyle w:val="af7"/>
        <w:widowControl w:val="0"/>
        <w:numPr>
          <w:ilvl w:val="0"/>
          <w:numId w:val="1"/>
        </w:numPr>
        <w:ind w:left="0" w:firstLine="709"/>
        <w:rPr>
          <w:rFonts w:ascii="Times New Roman" w:hAnsi="Times New Roman"/>
          <w:sz w:val="28"/>
          <w:szCs w:val="28"/>
        </w:rPr>
      </w:pPr>
      <w:bookmarkStart w:id="7" w:name="Par629"/>
      <w:bookmarkEnd w:id="7"/>
      <w:r w:rsidRPr="006848CC">
        <w:rPr>
          <w:rFonts w:ascii="Times New Roman" w:hAnsi="Times New Roman"/>
          <w:sz w:val="28"/>
          <w:szCs w:val="28"/>
        </w:rPr>
        <w:t>В графе "</w:t>
      </w:r>
      <w:r w:rsidRPr="006848CC">
        <w:rPr>
          <w:rFonts w:ascii="Times New Roman" w:hAnsi="Times New Roman"/>
          <w:b/>
          <w:sz w:val="28"/>
          <w:szCs w:val="28"/>
        </w:rPr>
        <w:t>Содержание обязательства</w:t>
      </w:r>
      <w:r w:rsidRPr="006848CC">
        <w:rPr>
          <w:rFonts w:ascii="Times New Roman" w:hAnsi="Times New Roman"/>
          <w:sz w:val="28"/>
          <w:szCs w:val="28"/>
        </w:rPr>
        <w:t>"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Кредитор (должник)</w:t>
      </w:r>
      <w:r w:rsidRPr="006848CC">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w:t>
      </w:r>
      <w:proofErr w:type="gramStart"/>
      <w:r w:rsidRPr="006848CC">
        <w:rPr>
          <w:rFonts w:ascii="Times New Roman" w:hAnsi="Times New Roman"/>
          <w:sz w:val="28"/>
          <w:szCs w:val="28"/>
        </w:rPr>
        <w:t>л(</w:t>
      </w:r>
      <w:proofErr w:type="gramEnd"/>
      <w:r w:rsidRPr="006848CC">
        <w:rPr>
          <w:rFonts w:ascii="Times New Roman" w:hAnsi="Times New Roman"/>
          <w:sz w:val="28"/>
          <w:szCs w:val="28"/>
        </w:rPr>
        <w:t>-а) кредит в ПАО Сбербанк и является должником, то в графе "Кредитор (должник)"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если служащий (работник) или его супруга (супруг) заключи</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В графе "</w:t>
      </w:r>
      <w:r w:rsidRPr="006848CC">
        <w:rPr>
          <w:rFonts w:ascii="Times New Roman" w:hAnsi="Times New Roman"/>
          <w:b/>
          <w:sz w:val="28"/>
          <w:szCs w:val="28"/>
        </w:rPr>
        <w:t>Основание возникновения</w:t>
      </w:r>
      <w:r w:rsidRPr="006848CC">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Сумма обязательства / размер обязательства по состоянию на отчетную дату</w:t>
      </w:r>
      <w:r w:rsidRPr="006848CC">
        <w:rPr>
          <w:rFonts w:ascii="Times New Roman" w:hAnsi="Times New Roman"/>
          <w:sz w:val="28"/>
          <w:szCs w:val="28"/>
        </w:rPr>
        <w:t xml:space="preserve">" 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proofErr w:type="gramStart"/>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roofErr w:type="gramEnd"/>
    </w:p>
    <w:p w14:paraId="3406867E" w14:textId="13BBD6E8"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1"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В графе "</w:t>
      </w:r>
      <w:r w:rsidRPr="006848CC">
        <w:rPr>
          <w:rFonts w:ascii="Times New Roman" w:hAnsi="Times New Roman"/>
          <w:b/>
          <w:sz w:val="28"/>
          <w:szCs w:val="28"/>
        </w:rPr>
        <w:t>Условия обязательства</w:t>
      </w:r>
      <w:r w:rsidRPr="006848CC">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proofErr w:type="gramStart"/>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w:t>
      </w:r>
      <w:proofErr w:type="gramEnd"/>
      <w:r w:rsidRPr="006848CC">
        <w:rPr>
          <w:rFonts w:ascii="Times New Roman" w:hAnsi="Times New Roman"/>
          <w:sz w:val="28"/>
          <w:szCs w:val="28"/>
        </w:rPr>
        <w:t xml:space="preserve">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6848CC">
        <w:rPr>
          <w:rFonts w:ascii="Times New Roman" w:hAnsi="Times New Roman"/>
          <w:sz w:val="28"/>
          <w:szCs w:val="28"/>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6848CC">
        <w:rPr>
          <w:rFonts w:ascii="Times New Roman" w:hAnsi="Times New Roman"/>
          <w:sz w:val="28"/>
          <w:szCs w:val="28"/>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w:t>
      </w:r>
      <w:proofErr w:type="gramStart"/>
      <w:r w:rsidRPr="006848CC">
        <w:rPr>
          <w:rFonts w:ascii="Times New Roman" w:hAnsi="Times New Roman"/>
          <w:sz w:val="28"/>
          <w:szCs w:val="28"/>
        </w:rPr>
        <w:t>В этом случае в графе 3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w:t>
      </w:r>
      <w:proofErr w:type="gramEnd"/>
      <w:r w:rsidRPr="006848CC">
        <w:rPr>
          <w:rFonts w:ascii="Times New Roman" w:hAnsi="Times New Roman"/>
          <w:sz w:val="28"/>
          <w:szCs w:val="28"/>
        </w:rPr>
        <w:t xml:space="preserve">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77777777"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6848CC">
        <w:rPr>
          <w:rFonts w:ascii="Times New Roman" w:hAnsi="Times New Roman"/>
          <w:sz w:val="28"/>
          <w:szCs w:val="28"/>
        </w:rPr>
        <w:t>и</w:t>
      </w:r>
      <w:proofErr w:type="gramEnd"/>
      <w:r w:rsidRPr="006848CC">
        <w:rPr>
          <w:rFonts w:ascii="Times New Roman" w:hAnsi="Times New Roman"/>
          <w:sz w:val="28"/>
          <w:szCs w:val="28"/>
        </w:rPr>
        <w:t xml:space="preserve">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w:t>
      </w:r>
      <w:proofErr w:type="gramEnd"/>
      <w:r w:rsidRPr="006848CC">
        <w:rPr>
          <w:rFonts w:ascii="Times New Roman" w:hAnsi="Times New Roman"/>
          <w:b/>
          <w:sz w:val="28"/>
          <w:szCs w:val="28"/>
        </w:rPr>
        <w:t xml:space="preserve">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В графе "Содержание обязательства" указывается вид страхования, в графе "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w:t>
      </w:r>
      <w:proofErr w:type="gramEnd"/>
      <w:r w:rsidRPr="006848CC">
        <w:rPr>
          <w:rFonts w:ascii="Times New Roman" w:hAnsi="Times New Roman"/>
          <w:sz w:val="28"/>
          <w:szCs w:val="28"/>
        </w:rPr>
        <w:t xml:space="preserve"> В графе "Сумма обязательства" указывается страховая премия по договору. В графе "Условия обязательства"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346A5DAB"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w:t>
      </w:r>
      <w:proofErr w:type="gramEnd"/>
      <w:r w:rsidRPr="006D6F6F">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w:t>
      </w:r>
      <w:proofErr w:type="gramEnd"/>
      <w:r w:rsidRPr="006848CC">
        <w:rPr>
          <w:rFonts w:ascii="Times New Roman" w:hAnsi="Times New Roman"/>
          <w:sz w:val="28"/>
          <w:szCs w:val="28"/>
        </w:rPr>
        <w:t xml:space="preserve">,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411A7BDA"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103</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 xml:space="preserve">111 </w:t>
      </w:r>
      <w:r w:rsidRPr="006D6F6F">
        <w:rPr>
          <w:rFonts w:ascii="Times New Roman" w:hAnsi="Times New Roman"/>
          <w:sz w:val="28"/>
          <w:szCs w:val="28"/>
        </w:rPr>
        <w:t xml:space="preserve">и </w:t>
      </w:r>
      <w:r w:rsidR="006D6F6F" w:rsidRPr="006D6F6F">
        <w:rPr>
          <w:rFonts w:ascii="Times New Roman" w:hAnsi="Times New Roman"/>
          <w:sz w:val="28"/>
          <w:szCs w:val="28"/>
        </w:rPr>
        <w:t xml:space="preserve">112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 xml:space="preserve">113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В строке "Транспортные средства"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2E11365F" w:rsidR="004D5762" w:rsidRPr="006848CC" w:rsidRDefault="00CF22F2">
      <w:pPr>
        <w:pStyle w:val="af7"/>
        <w:widowControl w:val="0"/>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roofErr w:type="gramEnd"/>
    </w:p>
    <w:p w14:paraId="307F8DAB" w14:textId="68D2BF11" w:rsidR="004D5762" w:rsidRPr="00A607DB" w:rsidRDefault="00CF22F2">
      <w:pPr>
        <w:pStyle w:val="af7"/>
        <w:widowControl w:val="0"/>
        <w:ind w:left="0" w:firstLine="567"/>
        <w:rPr>
          <w:rFonts w:ascii="Times New Roman" w:hAnsi="Times New Roman"/>
          <w:sz w:val="28"/>
          <w:szCs w:val="28"/>
        </w:rPr>
      </w:pPr>
      <w:proofErr w:type="gramStart"/>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172</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173</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4</w:t>
      </w:r>
      <w:r w:rsidRPr="00A607DB">
        <w:rPr>
          <w:rFonts w:ascii="Times New Roman" w:hAnsi="Times New Roman"/>
          <w:sz w:val="28"/>
          <w:szCs w:val="28"/>
        </w:rPr>
        <w:t xml:space="preserve"> настоящих Методических рекомендаций, доли участия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5</w:t>
      </w:r>
      <w:r w:rsidRPr="00A607DB">
        <w:rPr>
          <w:rFonts w:ascii="Times New Roman" w:hAnsi="Times New Roman"/>
          <w:sz w:val="28"/>
          <w:szCs w:val="28"/>
        </w:rPr>
        <w:t xml:space="preserve"> настоящих Методических рекомендаций.</w:t>
      </w:r>
      <w:proofErr w:type="gramEnd"/>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4C09F12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696D4924"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sectPr w:rsidR="004D5762" w:rsidRPr="006848CC">
      <w:headerReference w:type="default" r:id="rId32"/>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EFBAA" w14:textId="77777777" w:rsidR="00C621E4" w:rsidRDefault="00C621E4">
      <w:r>
        <w:separator/>
      </w:r>
    </w:p>
  </w:endnote>
  <w:endnote w:type="continuationSeparator" w:id="0">
    <w:p w14:paraId="22C98756" w14:textId="77777777" w:rsidR="00C621E4" w:rsidRDefault="00C62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F767B" w14:textId="77777777" w:rsidR="00C621E4" w:rsidRDefault="00C621E4">
      <w:r>
        <w:separator/>
      </w:r>
    </w:p>
  </w:footnote>
  <w:footnote w:type="continuationSeparator" w:id="0">
    <w:p w14:paraId="02E05618" w14:textId="77777777" w:rsidR="00C621E4" w:rsidRDefault="00C621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77777777" w:rsidR="00C621E4" w:rsidRDefault="00C621E4">
    <w:pPr>
      <w:pStyle w:val="af0"/>
      <w:jc w:val="center"/>
      <w:rPr>
        <w:rFonts w:ascii="Times New Roman" w:eastAsia="Times New Roman" w:hAnsi="Times New Roman"/>
        <w:sz w:val="28"/>
      </w:rPr>
    </w:pPr>
    <w:r>
      <w:fldChar w:fldCharType="begin"/>
    </w:r>
    <w:r>
      <w:instrText>PAGE \* MERGEFORMAT</w:instrText>
    </w:r>
    <w:r>
      <w:fldChar w:fldCharType="separate"/>
    </w:r>
    <w:r w:rsidR="003574AE" w:rsidRPr="003574AE">
      <w:rPr>
        <w:rFonts w:ascii="Times New Roman" w:eastAsia="Times New Roman" w:hAnsi="Times New Roman"/>
        <w:noProof/>
        <w:sz w:val="28"/>
      </w:rPr>
      <w:t>38</w:t>
    </w:r>
    <w:r>
      <w:rPr>
        <w:rFonts w:ascii="Times New Roman" w:eastAsia="Times New Roman" w:hAnsi="Times New Roman"/>
        <w:sz w:val="28"/>
      </w:rPr>
      <w:fldChar w:fldCharType="end"/>
    </w:r>
  </w:p>
  <w:p w14:paraId="6298390A" w14:textId="77777777" w:rsidR="00C621E4" w:rsidRDefault="00C621E4">
    <w:pPr>
      <w:pStyle w:val="af0"/>
      <w:rPr>
        <w:rFonts w:ascii="Times New Roman" w:eastAsia="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6">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7">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8">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19">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1">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2">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3">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5">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6">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27">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28">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29">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1">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2">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3">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4">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5"/>
  </w:num>
  <w:num w:numId="2">
    <w:abstractNumId w:val="26"/>
  </w:num>
  <w:num w:numId="3">
    <w:abstractNumId w:val="1"/>
  </w:num>
  <w:num w:numId="4">
    <w:abstractNumId w:val="11"/>
  </w:num>
  <w:num w:numId="5">
    <w:abstractNumId w:val="0"/>
  </w:num>
  <w:num w:numId="6">
    <w:abstractNumId w:val="22"/>
  </w:num>
  <w:num w:numId="7">
    <w:abstractNumId w:val="10"/>
  </w:num>
  <w:num w:numId="8">
    <w:abstractNumId w:val="16"/>
  </w:num>
  <w:num w:numId="9">
    <w:abstractNumId w:val="13"/>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7"/>
  </w:num>
  <w:num w:numId="21">
    <w:abstractNumId w:val="24"/>
  </w:num>
  <w:num w:numId="22">
    <w:abstractNumId w:val="9"/>
  </w:num>
  <w:num w:numId="23">
    <w:abstractNumId w:val="34"/>
  </w:num>
  <w:num w:numId="24">
    <w:abstractNumId w:val="20"/>
  </w:num>
  <w:num w:numId="25">
    <w:abstractNumId w:val="2"/>
  </w:num>
  <w:num w:numId="26">
    <w:abstractNumId w:val="7"/>
  </w:num>
  <w:num w:numId="27">
    <w:abstractNumId w:val="27"/>
  </w:num>
  <w:num w:numId="28">
    <w:abstractNumId w:val="29"/>
  </w:num>
  <w:num w:numId="29">
    <w:abstractNumId w:val="5"/>
  </w:num>
  <w:num w:numId="30">
    <w:abstractNumId w:val="6"/>
  </w:num>
  <w:num w:numId="31">
    <w:abstractNumId w:val="28"/>
  </w:num>
  <w:num w:numId="32">
    <w:abstractNumId w:val="33"/>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31"/>
  </w:num>
  <w:num w:numId="43">
    <w:abstractNumId w:val="30"/>
  </w:num>
  <w:num w:numId="44">
    <w:abstractNumId w:val="4"/>
  </w:num>
  <w:num w:numId="45">
    <w:abstractNumId w:val="21"/>
  </w:num>
  <w:num w:numId="46">
    <w:abstractNumId w:val="3"/>
  </w:num>
  <w:num w:numId="47">
    <w:abstractNumId w:val="12"/>
  </w:num>
  <w:num w:numId="48">
    <w:abstractNumId w:val="19"/>
  </w:num>
  <w:num w:numId="49">
    <w:abstractNumId w:val="14"/>
  </w:num>
  <w:num w:numId="50">
    <w:abstractNumId w:val="8"/>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201D0"/>
    <w:rsid w:val="000315CC"/>
    <w:rsid w:val="00041000"/>
    <w:rsid w:val="00047D13"/>
    <w:rsid w:val="000525D0"/>
    <w:rsid w:val="00073598"/>
    <w:rsid w:val="000758F2"/>
    <w:rsid w:val="000C2060"/>
    <w:rsid w:val="000D3471"/>
    <w:rsid w:val="0013392F"/>
    <w:rsid w:val="00156047"/>
    <w:rsid w:val="00171DB2"/>
    <w:rsid w:val="001B61C3"/>
    <w:rsid w:val="001F7B71"/>
    <w:rsid w:val="00240588"/>
    <w:rsid w:val="002449A6"/>
    <w:rsid w:val="00272516"/>
    <w:rsid w:val="002937E4"/>
    <w:rsid w:val="002B4A34"/>
    <w:rsid w:val="00305A10"/>
    <w:rsid w:val="0032067C"/>
    <w:rsid w:val="00355BD0"/>
    <w:rsid w:val="003574AE"/>
    <w:rsid w:val="0036730C"/>
    <w:rsid w:val="00386829"/>
    <w:rsid w:val="003B218C"/>
    <w:rsid w:val="003C2E0E"/>
    <w:rsid w:val="00401035"/>
    <w:rsid w:val="00421C65"/>
    <w:rsid w:val="0043493D"/>
    <w:rsid w:val="00466E69"/>
    <w:rsid w:val="00485068"/>
    <w:rsid w:val="004D1E00"/>
    <w:rsid w:val="004D5762"/>
    <w:rsid w:val="004F6179"/>
    <w:rsid w:val="00520CCC"/>
    <w:rsid w:val="0053724A"/>
    <w:rsid w:val="00564C29"/>
    <w:rsid w:val="00590914"/>
    <w:rsid w:val="00592A5F"/>
    <w:rsid w:val="005C1C7A"/>
    <w:rsid w:val="005C4D2F"/>
    <w:rsid w:val="005F50F4"/>
    <w:rsid w:val="00600166"/>
    <w:rsid w:val="00632D06"/>
    <w:rsid w:val="00643A0B"/>
    <w:rsid w:val="006700D8"/>
    <w:rsid w:val="00677975"/>
    <w:rsid w:val="006848CC"/>
    <w:rsid w:val="006D6F6F"/>
    <w:rsid w:val="006E792F"/>
    <w:rsid w:val="007042B7"/>
    <w:rsid w:val="00725E0A"/>
    <w:rsid w:val="00772F94"/>
    <w:rsid w:val="0079432C"/>
    <w:rsid w:val="00795C0E"/>
    <w:rsid w:val="007A030D"/>
    <w:rsid w:val="007A1B69"/>
    <w:rsid w:val="007C2739"/>
    <w:rsid w:val="007D6042"/>
    <w:rsid w:val="007D7774"/>
    <w:rsid w:val="007F0939"/>
    <w:rsid w:val="007F1572"/>
    <w:rsid w:val="00807233"/>
    <w:rsid w:val="008621DE"/>
    <w:rsid w:val="00887F4B"/>
    <w:rsid w:val="00891356"/>
    <w:rsid w:val="0089631F"/>
    <w:rsid w:val="008A6A42"/>
    <w:rsid w:val="008B315A"/>
    <w:rsid w:val="008B6F9B"/>
    <w:rsid w:val="008C1F84"/>
    <w:rsid w:val="008E556F"/>
    <w:rsid w:val="009161B9"/>
    <w:rsid w:val="009449D1"/>
    <w:rsid w:val="00945AD8"/>
    <w:rsid w:val="0095434F"/>
    <w:rsid w:val="009664F3"/>
    <w:rsid w:val="00970EF1"/>
    <w:rsid w:val="0099045E"/>
    <w:rsid w:val="009F6DEF"/>
    <w:rsid w:val="00A607DB"/>
    <w:rsid w:val="00A73A56"/>
    <w:rsid w:val="00A73EF2"/>
    <w:rsid w:val="00A81B69"/>
    <w:rsid w:val="00B203EA"/>
    <w:rsid w:val="00B503F0"/>
    <w:rsid w:val="00B537CA"/>
    <w:rsid w:val="00B6055B"/>
    <w:rsid w:val="00B77F39"/>
    <w:rsid w:val="00BB6F00"/>
    <w:rsid w:val="00C11BB0"/>
    <w:rsid w:val="00C15E51"/>
    <w:rsid w:val="00C24419"/>
    <w:rsid w:val="00C621E4"/>
    <w:rsid w:val="00CA4F8E"/>
    <w:rsid w:val="00CF22F2"/>
    <w:rsid w:val="00D030AB"/>
    <w:rsid w:val="00D12783"/>
    <w:rsid w:val="00D641AE"/>
    <w:rsid w:val="00D813DB"/>
    <w:rsid w:val="00D9167D"/>
    <w:rsid w:val="00DA501E"/>
    <w:rsid w:val="00DB6181"/>
    <w:rsid w:val="00DB6803"/>
    <w:rsid w:val="00DE7B36"/>
    <w:rsid w:val="00E27DBD"/>
    <w:rsid w:val="00E4439A"/>
    <w:rsid w:val="00EB3A52"/>
    <w:rsid w:val="00EC6510"/>
    <w:rsid w:val="00F75D51"/>
    <w:rsid w:val="00F80015"/>
    <w:rsid w:val="00F90A94"/>
    <w:rsid w:val="00FA3F90"/>
    <w:rsid w:val="00FC0BED"/>
    <w:rsid w:val="00FC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gossluzhba.gov.ru/anticorruption/spravki_bk" TargetMode="External"/><Relationship Id="rId26" Type="http://schemas.openxmlformats.org/officeDocument/2006/relationships/hyperlink" Target="http://www.cbr.ru/vfs/registers/infr/list_invest_platform_op.xlsx" TargetMode="External"/><Relationship Id="rId3" Type="http://schemas.openxmlformats.org/officeDocument/2006/relationships/numbering" Target="numbering.xml"/><Relationship Id="rId21" Type="http://schemas.openxmlformats.org/officeDocument/2006/relationships/hyperlink" Target="https://lk.rosreestr.ru/eservices/real-estate-objects-online"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www.kremlin.ru/structure/additional/12" TargetMode="External"/><Relationship Id="rId25" Type="http://schemas.openxmlformats.org/officeDocument/2006/relationships/hyperlink" Target="https://cbr.ru/vfs/registers/infr/list_OIS.xls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docs/1872" TargetMode="External"/><Relationship Id="rId29" Type="http://schemas.openxmlformats.org/officeDocument/2006/relationships/hyperlink" Target="https://www.cbr.ru/banking_sector/likvidbas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www.gibdd.ru/r/66/contacts/div1165043/" TargetMode="External"/><Relationship Id="rId32"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www.gibdd.ru/r/66/contacts/div1165058/" TargetMode="External"/><Relationship Id="rId28" Type="http://schemas.openxmlformats.org/officeDocument/2006/relationships/hyperlink" Target="https://www.nalog.ru/rn77/related_activities/accounting/bank_account/"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www.cbr.ru/currency_base/daily/"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www.gibdd.ru/r/77/contacts/div1145039/" TargetMode="External"/><Relationship Id="rId27" Type="http://schemas.openxmlformats.org/officeDocument/2006/relationships/hyperlink" Target="https://www.cbr.ru/hd_base/metall/metall_base_new/" TargetMode="External"/><Relationship Id="rId30" Type="http://schemas.openxmlformats.org/officeDocument/2006/relationships/hyperlink" Target="https://mintrud.gov.ru/ministry/programms/anticorruption/9/21" TargetMode="External"/><Relationship Id="rId8"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5D5B90A4-C26E-4C64-A8E2-8C2639FF8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62</Pages>
  <Words>26205</Words>
  <Characters>149369</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123</cp:lastModifiedBy>
  <cp:revision>16</cp:revision>
  <cp:lastPrinted>2022-12-30T09:43:00Z</cp:lastPrinted>
  <dcterms:created xsi:type="dcterms:W3CDTF">2022-12-30T06:49:00Z</dcterms:created>
  <dcterms:modified xsi:type="dcterms:W3CDTF">2022-12-30T11:49:00Z</dcterms:modified>
</cp:coreProperties>
</file>